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微软雅黑" w:hAnsi="微软雅黑" w:eastAsia="微软雅黑" w:cs="微软雅黑"/>
          <w:b/>
          <w:sz w:val="32"/>
          <w:szCs w:val="32"/>
        </w:rPr>
      </w:pPr>
      <w:r>
        <mc:AlternateContent>
          <mc:Choice Requires="wps">
            <w:drawing>
              <wp:anchor distT="0" distB="0" distL="114300" distR="114300" simplePos="0" relativeHeight="251659264" behindDoc="0" locked="0" layoutInCell="1" allowOverlap="1">
                <wp:simplePos x="0" y="0"/>
                <wp:positionH relativeFrom="column">
                  <wp:posOffset>3688080</wp:posOffset>
                </wp:positionH>
                <wp:positionV relativeFrom="paragraph">
                  <wp:posOffset>204470</wp:posOffset>
                </wp:positionV>
                <wp:extent cx="1600200" cy="285750"/>
                <wp:effectExtent l="4445" t="4445" r="10795" b="1460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solidFill>
                            <a:srgbClr val="000000"/>
                          </a:solidFill>
                          <a:miter lim="800000"/>
                        </a:ln>
                        <a:effectLst/>
                      </wps:spPr>
                      <wps:txbx>
                        <w:txbxContent>
                          <w:p>
                            <w:r>
                              <w:rPr>
                                <w:rFonts w:hint="eastAsia"/>
                              </w:rPr>
                              <w:t>项目编号：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0.4pt;margin-top:16.1pt;height:22.5pt;width:126pt;z-index:251659264;mso-width-relative:page;mso-height-relative:page;" fillcolor="#FFFFFF" filled="t" stroked="t" coordsize="21600,21600" o:gfxdata="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D&#10;NzA52AAAAAkBAAAPAAAAAAAAAAEAIAAAADgAAABkcnMvZG93bnJldi54bWxQSwECFAAUAAAACACH&#10;TuJA97v/70cCAACXBAAADgAAAAAAAAABACAAAAA9AQAAZHJzL2Uyb0RvYy54bWxQSwUGAAAAAAYA&#10;BgBZAQAA9gUAAAAA&#10;">
                <v:fill on="t" focussize="0,0"/>
                <v:stroke color="#000000" miterlimit="8" joinstyle="miter"/>
                <v:imagedata o:title=""/>
                <o:lock v:ext="edit" aspectratio="f"/>
                <v:textbox>
                  <w:txbxContent>
                    <w:p>
                      <w:r>
                        <w:rPr>
                          <w:rFonts w:hint="eastAsia"/>
                        </w:rPr>
                        <w:t>项目编号：</w:t>
                      </w:r>
                    </w:p>
                  </w:txbxContent>
                </v:textbox>
              </v:shape>
            </w:pict>
          </mc:Fallback>
        </mc:AlternateContent>
      </w:r>
    </w:p>
    <w:p>
      <w:pPr>
        <w:spacing w:before="312" w:beforeLines="100" w:after="312" w:afterLines="100"/>
        <w:jc w:val="center"/>
        <w:rPr>
          <w:rFonts w:ascii="微软雅黑" w:hAnsi="微软雅黑" w:eastAsia="微软雅黑" w:cs="微软雅黑"/>
          <w:b/>
          <w:sz w:val="32"/>
          <w:szCs w:val="32"/>
        </w:rPr>
      </w:pPr>
      <w:bookmarkStart w:id="0" w:name="_Toc26120_WPSOffice_Level1"/>
      <w:r>
        <w:rPr>
          <w:rFonts w:hint="eastAsia" w:ascii="微软雅黑" w:hAnsi="微软雅黑" w:eastAsia="微软雅黑" w:cs="微软雅黑"/>
          <w:b/>
          <w:sz w:val="32"/>
          <w:szCs w:val="32"/>
        </w:rPr>
        <w:t>无锡灵山慈善基金会</w:t>
      </w:r>
      <w:r>
        <w:rPr>
          <w:rFonts w:hint="eastAsia" w:ascii="微软雅黑" w:hAnsi="微软雅黑" w:eastAsia="微软雅黑" w:cs="微软雅黑"/>
          <w:b/>
          <w:sz w:val="32"/>
          <w:szCs w:val="32"/>
          <w:lang w:val="en-US" w:eastAsia="zh-CN"/>
        </w:rPr>
        <w:t>困境老人安养计划项目2023年度</w:t>
      </w:r>
      <w:r>
        <w:rPr>
          <w:rFonts w:hint="eastAsia" w:ascii="微软雅黑" w:hAnsi="微软雅黑" w:eastAsia="微软雅黑" w:cs="微软雅黑"/>
          <w:b/>
          <w:sz w:val="32"/>
          <w:szCs w:val="32"/>
        </w:rPr>
        <w:t>报告</w:t>
      </w:r>
      <w:bookmarkEnd w:id="0"/>
    </w:p>
    <w:p>
      <w:pPr>
        <w:spacing w:before="312" w:beforeLines="100" w:after="312" w:afterLines="100"/>
        <w:jc w:val="center"/>
        <w:rPr>
          <w:rFonts w:hint="default" w:ascii="微软雅黑" w:hAnsi="微软雅黑" w:eastAsia="微软雅黑" w:cs="微软雅黑"/>
          <w:b/>
          <w:sz w:val="24"/>
          <w:szCs w:val="24"/>
          <w:lang w:val="en-US" w:eastAsia="zh-CN"/>
        </w:rPr>
      </w:pPr>
      <w:bookmarkStart w:id="1" w:name="_Toc22080_WPSOffice_Level2"/>
      <w:bookmarkStart w:id="2" w:name="_Toc21055_WPSOffice_Level2"/>
      <w:bookmarkStart w:id="3" w:name="_Toc9470_WPSOffice_Level2"/>
      <w:bookmarkStart w:id="4" w:name="_Toc7650_WPSOffice_Level2"/>
      <w:bookmarkStart w:id="5" w:name="_Toc23828_WPSOffice_Level2"/>
      <w:r>
        <w:rPr>
          <w:rFonts w:hint="eastAsia" w:ascii="微软雅黑" w:hAnsi="微软雅黑" w:eastAsia="微软雅黑" w:cs="微软雅黑"/>
          <w:b/>
          <w:sz w:val="24"/>
          <w:szCs w:val="24"/>
        </w:rPr>
        <w:t>报告周期：20</w:t>
      </w:r>
      <w:r>
        <w:rPr>
          <w:rFonts w:hint="eastAsia" w:ascii="微软雅黑" w:hAnsi="微软雅黑" w:eastAsia="微软雅黑" w:cs="微软雅黑"/>
          <w:b/>
          <w:sz w:val="24"/>
          <w:szCs w:val="24"/>
          <w:lang w:val="en-US" w:eastAsia="zh-CN"/>
        </w:rPr>
        <w:t>23</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lang w:val="en-US" w:eastAsia="zh-CN"/>
        </w:rPr>
        <w:t>01</w:t>
      </w:r>
      <w:r>
        <w:rPr>
          <w:rFonts w:hint="eastAsia" w:ascii="微软雅黑" w:hAnsi="微软雅黑" w:eastAsia="微软雅黑" w:cs="微软雅黑"/>
          <w:b/>
          <w:sz w:val="24"/>
          <w:szCs w:val="24"/>
        </w:rPr>
        <w:t>-20</w:t>
      </w:r>
      <w:r>
        <w:rPr>
          <w:rFonts w:hint="eastAsia" w:ascii="微软雅黑" w:hAnsi="微软雅黑" w:eastAsia="微软雅黑" w:cs="微软雅黑"/>
          <w:b/>
          <w:sz w:val="24"/>
          <w:szCs w:val="24"/>
          <w:lang w:val="en-US" w:eastAsia="zh-CN"/>
        </w:rPr>
        <w:t>23</w:t>
      </w:r>
      <w:r>
        <w:rPr>
          <w:rFonts w:hint="eastAsia" w:ascii="微软雅黑" w:hAnsi="微软雅黑" w:eastAsia="微软雅黑" w:cs="微软雅黑"/>
          <w:b/>
          <w:sz w:val="24"/>
          <w:szCs w:val="24"/>
        </w:rPr>
        <w:t>.</w:t>
      </w:r>
      <w:bookmarkEnd w:id="1"/>
      <w:bookmarkEnd w:id="2"/>
      <w:bookmarkEnd w:id="3"/>
      <w:bookmarkEnd w:id="4"/>
      <w:bookmarkEnd w:id="5"/>
      <w:r>
        <w:rPr>
          <w:rFonts w:hint="eastAsia" w:ascii="微软雅黑" w:hAnsi="微软雅黑" w:eastAsia="微软雅黑" w:cs="微软雅黑"/>
          <w:b/>
          <w:sz w:val="24"/>
          <w:szCs w:val="24"/>
          <w:lang w:val="en-US" w:eastAsia="zh-CN"/>
        </w:rPr>
        <w:t>10</w:t>
      </w:r>
    </w:p>
    <w:p>
      <w:pPr>
        <w:spacing w:line="360" w:lineRule="auto"/>
        <w:jc w:val="left"/>
        <w:rPr>
          <w:rFonts w:ascii="微软雅黑" w:hAnsi="微软雅黑" w:eastAsia="微软雅黑" w:cs="微软雅黑"/>
          <w:color w:val="FF0000"/>
          <w:sz w:val="24"/>
          <w:szCs w:val="24"/>
        </w:rPr>
      </w:pPr>
      <w:bookmarkStart w:id="6" w:name="_Toc3332_WPSOffice_Level1"/>
      <w:bookmarkStart w:id="7" w:name="_Toc13833_WPSOffice_Level1"/>
      <w:bookmarkStart w:id="8" w:name="_Toc10420_WPSOffice_Level1"/>
      <w:bookmarkStart w:id="9" w:name="_Toc19823_WPSOffice_Level1"/>
      <w:bookmarkStart w:id="10" w:name="_Toc22756_WPSOffice_Level1"/>
      <w:r>
        <w:rPr>
          <w:rFonts w:hint="eastAsia" w:ascii="微软雅黑" w:hAnsi="微软雅黑" w:eastAsia="微软雅黑" w:cs="微软雅黑"/>
          <w:b/>
          <w:sz w:val="24"/>
          <w:szCs w:val="24"/>
        </w:rPr>
        <w:t>一、基本信息</w:t>
      </w:r>
      <w:bookmarkEnd w:id="6"/>
      <w:bookmarkEnd w:id="7"/>
      <w:bookmarkEnd w:id="8"/>
      <w:bookmarkEnd w:id="9"/>
      <w:bookmarkEnd w:id="10"/>
    </w:p>
    <w:tbl>
      <w:tblPr>
        <w:tblStyle w:val="5"/>
        <w:tblW w:w="84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418"/>
        <w:gridCol w:w="1734"/>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1812"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lang w:val="en-US" w:eastAsia="zh-CN"/>
              </w:rPr>
              <w:t>项目名称</w:t>
            </w:r>
          </w:p>
        </w:tc>
        <w:tc>
          <w:tcPr>
            <w:tcW w:w="2418" w:type="dxa"/>
            <w:vAlign w:val="center"/>
          </w:tcPr>
          <w:p>
            <w:pPr>
              <w:spacing w:line="360" w:lineRule="auto"/>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困境老人安养计划</w:t>
            </w:r>
          </w:p>
        </w:tc>
        <w:tc>
          <w:tcPr>
            <w:tcW w:w="1734"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类别</w:t>
            </w:r>
          </w:p>
        </w:tc>
        <w:tc>
          <w:tcPr>
            <w:tcW w:w="2456" w:type="dxa"/>
            <w:vAlign w:val="center"/>
          </w:tcPr>
          <w:p>
            <w:pPr>
              <w:spacing w:line="360" w:lineRule="auto"/>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助困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4" w:hRule="atLeast"/>
        </w:trPr>
        <w:tc>
          <w:tcPr>
            <w:tcW w:w="1812"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简介</w:t>
            </w:r>
          </w:p>
        </w:tc>
        <w:tc>
          <w:tcPr>
            <w:tcW w:w="6608" w:type="dxa"/>
            <w:gridSpan w:val="3"/>
            <w:vAlign w:val="center"/>
          </w:tcPr>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灵山慈善基金发起“困境老人安养计划”旨在帮助那些身心陷于困境的老人改善他们的生活状况。通过发挥公募基金会的公众筹款优势，整合资源，为这些老人提供基本的生活和医疗护理支持。这个计划的目标是真正做到让困境老人老有所依、老有所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812"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执行</w:t>
            </w:r>
            <w:r>
              <w:rPr>
                <w:rFonts w:hint="eastAsia" w:ascii="微软雅黑" w:hAnsi="微软雅黑" w:eastAsia="微软雅黑" w:cs="微软雅黑"/>
                <w:b/>
                <w:sz w:val="18"/>
                <w:szCs w:val="18"/>
                <w:lang w:val="en-US" w:eastAsia="zh-CN"/>
              </w:rPr>
              <w:t>团队</w:t>
            </w:r>
          </w:p>
        </w:tc>
        <w:tc>
          <w:tcPr>
            <w:tcW w:w="2418"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color w:val="auto"/>
                <w:sz w:val="18"/>
                <w:szCs w:val="18"/>
                <w:lang w:val="en-US" w:eastAsia="zh-Hans"/>
              </w:rPr>
              <w:t>无锡灵山慈善基金会</w:t>
            </w:r>
          </w:p>
        </w:tc>
        <w:tc>
          <w:tcPr>
            <w:tcW w:w="1734"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项目执行地点</w:t>
            </w:r>
          </w:p>
        </w:tc>
        <w:tc>
          <w:tcPr>
            <w:tcW w:w="2456"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trPr>
        <w:tc>
          <w:tcPr>
            <w:tcW w:w="1812"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执行周期</w:t>
            </w:r>
          </w:p>
        </w:tc>
        <w:tc>
          <w:tcPr>
            <w:tcW w:w="2418" w:type="dxa"/>
            <w:vAlign w:val="center"/>
          </w:tcPr>
          <w:p>
            <w:pPr>
              <w:spacing w:line="360" w:lineRule="auto"/>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2023.1-2023.10</w:t>
            </w:r>
          </w:p>
        </w:tc>
        <w:tc>
          <w:tcPr>
            <w:tcW w:w="1734" w:type="dxa"/>
            <w:vAlign w:val="center"/>
          </w:tcPr>
          <w:p>
            <w:pPr>
              <w:spacing w:line="360" w:lineRule="auto"/>
              <w:jc w:val="left"/>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lang w:eastAsia="zh-CN"/>
              </w:rPr>
              <w:t>项目执行支出</w:t>
            </w:r>
          </w:p>
        </w:tc>
        <w:tc>
          <w:tcPr>
            <w:tcW w:w="2456"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419019.15</w:t>
            </w:r>
            <w:r>
              <w:rPr>
                <w:rFonts w:hint="eastAsia" w:ascii="微软雅黑" w:hAnsi="微软雅黑" w:eastAsia="微软雅黑" w:cs="微软雅黑"/>
                <w:sz w:val="18"/>
                <w:szCs w:val="1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trPr>
        <w:tc>
          <w:tcPr>
            <w:tcW w:w="1812"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受益人群</w:t>
            </w:r>
          </w:p>
        </w:tc>
        <w:tc>
          <w:tcPr>
            <w:tcW w:w="2418" w:type="dxa"/>
            <w:vAlign w:val="center"/>
          </w:tcPr>
          <w:p>
            <w:pPr>
              <w:spacing w:line="360" w:lineRule="auto"/>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为1900余位困境老人提供必要的养老服务及生活物资</w:t>
            </w:r>
          </w:p>
        </w:tc>
        <w:tc>
          <w:tcPr>
            <w:tcW w:w="1734" w:type="dxa"/>
            <w:vAlign w:val="center"/>
          </w:tcPr>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间接</w:t>
            </w:r>
          </w:p>
          <w:p>
            <w:pPr>
              <w:spacing w:line="36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受益人群</w:t>
            </w:r>
          </w:p>
        </w:tc>
        <w:tc>
          <w:tcPr>
            <w:tcW w:w="2456"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0</w:t>
            </w:r>
          </w:p>
        </w:tc>
      </w:tr>
    </w:tbl>
    <w:p>
      <w:pPr>
        <w:spacing w:line="360" w:lineRule="auto"/>
        <w:jc w:val="left"/>
        <w:rPr>
          <w:rFonts w:hint="eastAsia" w:ascii="微软雅黑" w:hAnsi="微软雅黑" w:eastAsia="微软雅黑" w:cs="微软雅黑"/>
          <w:b/>
          <w:sz w:val="24"/>
          <w:szCs w:val="24"/>
          <w:lang w:val="en-US" w:eastAsia="zh-CN"/>
        </w:rPr>
      </w:pPr>
      <w:bookmarkStart w:id="11" w:name="_Toc19231_WPSOffice_Level1"/>
      <w:bookmarkStart w:id="12" w:name="_Toc25408_WPSOffice_Level1"/>
      <w:bookmarkStart w:id="13" w:name="_Toc25641_WPSOffice_Level1"/>
      <w:bookmarkStart w:id="14" w:name="_Toc1462_WPSOffice_Level1"/>
      <w:bookmarkStart w:id="15" w:name="_Toc3131_WPSOffice_Level1"/>
    </w:p>
    <w:p>
      <w:pPr>
        <w:spacing w:line="360" w:lineRule="auto"/>
        <w:jc w:val="left"/>
        <w:rPr>
          <w:rFonts w:hint="eastAsia" w:ascii="微软雅黑" w:hAnsi="微软雅黑" w:eastAsia="微软雅黑" w:cs="微软雅黑"/>
          <w:b/>
          <w:sz w:val="24"/>
          <w:szCs w:val="24"/>
          <w:lang w:val="en-US" w:eastAsia="zh-CN"/>
        </w:rPr>
      </w:pPr>
    </w:p>
    <w:p>
      <w:pPr>
        <w:spacing w:line="360" w:lineRule="auto"/>
        <w:jc w:val="left"/>
        <w:rPr>
          <w:rFonts w:hint="eastAsia" w:ascii="微软雅黑" w:hAnsi="微软雅黑" w:eastAsia="微软雅黑" w:cs="微软雅黑"/>
          <w:b/>
          <w:sz w:val="24"/>
          <w:szCs w:val="24"/>
          <w:lang w:val="en-US" w:eastAsia="zh-CN"/>
        </w:rPr>
      </w:pPr>
    </w:p>
    <w:p>
      <w:pPr>
        <w:spacing w:line="360" w:lineRule="auto"/>
        <w:jc w:val="left"/>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二、执行情况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3" w:hRule="atLeast"/>
        </w:trPr>
        <w:tc>
          <w:tcPr>
            <w:tcW w:w="2059" w:type="dxa"/>
            <w:vAlign w:val="center"/>
          </w:tcPr>
          <w:p>
            <w:pPr>
              <w:jc w:val="center"/>
              <w:rPr>
                <w:rFonts w:hint="eastAsia" w:ascii="微软雅黑" w:hAnsi="微软雅黑" w:cs="微软雅黑" w:eastAsiaTheme="minorEastAsia"/>
                <w:b/>
                <w:sz w:val="24"/>
                <w:szCs w:val="24"/>
                <w:vertAlign w:val="baseline"/>
                <w:lang w:val="en-US" w:eastAsia="zh-CN"/>
              </w:rPr>
            </w:pPr>
            <w:r>
              <w:rPr>
                <w:rFonts w:hint="eastAsia"/>
                <w:b/>
                <w:sz w:val="24"/>
                <w:szCs w:val="24"/>
              </w:rPr>
              <w:t>执行</w:t>
            </w:r>
            <w:r>
              <w:rPr>
                <w:rFonts w:hint="eastAsia"/>
                <w:b/>
                <w:sz w:val="24"/>
                <w:szCs w:val="24"/>
                <w:lang w:val="en-US" w:eastAsia="zh-CN"/>
              </w:rPr>
              <w:t>情况</w:t>
            </w:r>
          </w:p>
        </w:tc>
        <w:tc>
          <w:tcPr>
            <w:tcW w:w="6463" w:type="dxa"/>
            <w:vAlign w:val="center"/>
          </w:tcPr>
          <w:p>
            <w:pPr>
              <w:spacing w:line="360" w:lineRule="auto"/>
              <w:jc w:val="left"/>
              <w:rPr>
                <w:rFonts w:eastAsia="仿宋"/>
                <w:b/>
                <w:bCs/>
                <w:sz w:val="24"/>
                <w:szCs w:val="24"/>
              </w:rPr>
            </w:pPr>
            <w:r>
              <w:rPr>
                <w:rFonts w:hint="eastAsia" w:eastAsia="仿宋"/>
                <w:b/>
                <w:bCs/>
                <w:sz w:val="24"/>
                <w:szCs w:val="24"/>
                <w:lang w:val="en-US" w:eastAsia="zh-CN"/>
              </w:rPr>
              <w:t>一</w:t>
            </w:r>
            <w:r>
              <w:rPr>
                <w:rFonts w:hint="eastAsia" w:eastAsia="仿宋"/>
                <w:b/>
                <w:bCs/>
                <w:sz w:val="24"/>
                <w:szCs w:val="24"/>
              </w:rPr>
              <w:t>、项目执行周期</w:t>
            </w:r>
          </w:p>
          <w:p>
            <w:pPr>
              <w:spacing w:line="360" w:lineRule="auto"/>
              <w:ind w:firstLine="480" w:firstLineChars="200"/>
              <w:jc w:val="left"/>
              <w:rPr>
                <w:rFonts w:hint="default" w:eastAsia="仿宋"/>
                <w:sz w:val="24"/>
                <w:szCs w:val="24"/>
                <w:lang w:val="en-US" w:eastAsia="zh-CN"/>
              </w:rPr>
            </w:pPr>
            <w:r>
              <w:rPr>
                <w:rFonts w:hint="eastAsia" w:eastAsia="仿宋"/>
                <w:sz w:val="24"/>
                <w:szCs w:val="24"/>
                <w:lang w:val="en-US" w:eastAsia="zh-CN"/>
              </w:rPr>
              <w:t>2023.01——2023.10</w:t>
            </w:r>
          </w:p>
          <w:p>
            <w:pPr>
              <w:spacing w:line="360" w:lineRule="auto"/>
              <w:jc w:val="left"/>
              <w:rPr>
                <w:rFonts w:eastAsia="仿宋"/>
                <w:b/>
                <w:bCs/>
                <w:sz w:val="24"/>
                <w:szCs w:val="24"/>
              </w:rPr>
            </w:pPr>
            <w:r>
              <w:rPr>
                <w:rFonts w:hint="eastAsia" w:eastAsia="仿宋"/>
                <w:b/>
                <w:bCs/>
                <w:sz w:val="24"/>
                <w:szCs w:val="24"/>
                <w:lang w:val="en-US" w:eastAsia="zh-CN"/>
              </w:rPr>
              <w:t>二</w:t>
            </w:r>
            <w:r>
              <w:rPr>
                <w:rFonts w:hint="eastAsia" w:eastAsia="仿宋"/>
                <w:b/>
                <w:bCs/>
                <w:sz w:val="24"/>
                <w:szCs w:val="24"/>
              </w:rPr>
              <w:t>、项目执行流程</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1、2023年1月：1月9日，项目组为重庆市铜梁区南城街道200位无社保、失独困境老人提供大米、面粉、食用油、食材包。1月30日，为震泽社区50位老人开展元宵节活动，并送上节日慰问礼包；</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2、2023年2月：项目组联合福建双缘安养院为21位老人提供专业养老服务，包括食宿、日常护理等，受助老人均为60岁以上无社会保障、无固定收入的困境老人；</w:t>
            </w:r>
          </w:p>
          <w:p>
            <w:pPr>
              <w:spacing w:line="360" w:lineRule="auto"/>
              <w:ind w:firstLine="480" w:firstLineChars="200"/>
              <w:jc w:val="left"/>
              <w:rPr>
                <w:rFonts w:hint="default" w:eastAsia="仿宋"/>
                <w:sz w:val="24"/>
                <w:szCs w:val="24"/>
                <w:lang w:val="en-US" w:eastAsia="zh-CN"/>
              </w:rPr>
            </w:pPr>
            <w:r>
              <w:rPr>
                <w:rFonts w:hint="eastAsia" w:eastAsia="仿宋"/>
                <w:sz w:val="24"/>
                <w:szCs w:val="24"/>
                <w:lang w:val="en-US" w:eastAsia="zh-CN"/>
              </w:rPr>
              <w:t>3、2023年3月：3月3日，为晋中市清泰安养院提供常用药品，物质包括采血针、医用棉签、牛黄解毒丸、玉屏风颗粒等；</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4、2023年5月：5月6日，项目组前往养老院对入住的困境老人进行慰问，并为参与活动的30位老人准备了生活物资礼包。5月10日，为无锡市新吴区春潮园第二社区8位困境老人提供生活补助金；</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5、2023年6月：6月8日，为困境老人提供20箱酱油。6月12日，为困境老人提供冻干饭以及端午节粽子，总收益人数达500人；</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6、2023年7月：7月13日，为48位寿宁县60岁以上困境老人提供生活补助金；</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7、2023年8月：为330位困境老人提供面粉等生活物资；</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8、2023年10月：10月23日，重阳节为21位困境老人开展节日活动并送上节日慰问礼包；</w:t>
            </w:r>
          </w:p>
          <w:p>
            <w:pPr>
              <w:spacing w:line="360" w:lineRule="auto"/>
              <w:ind w:firstLine="480" w:firstLineChars="200"/>
              <w:jc w:val="left"/>
              <w:rPr>
                <w:rFonts w:hint="default" w:eastAsia="仿宋"/>
                <w:sz w:val="24"/>
                <w:szCs w:val="24"/>
                <w:lang w:val="en-US" w:eastAsia="zh-CN"/>
              </w:rPr>
            </w:pPr>
            <w:r>
              <w:rPr>
                <w:rFonts w:hint="eastAsia" w:eastAsia="仿宋"/>
                <w:sz w:val="24"/>
                <w:szCs w:val="24"/>
                <w:lang w:val="en-US" w:eastAsia="zh-CN"/>
              </w:rPr>
              <w:t>9、2023年3-9月：项目组项目组联合福建双缘安养院为9位老人提供长期的专业养老服务，包括食宿、日常护理等，受助老人均为60岁以上无社会保障、无固定收入的困境老人；</w:t>
            </w:r>
          </w:p>
          <w:p>
            <w:pPr>
              <w:spacing w:line="360" w:lineRule="auto"/>
              <w:ind w:firstLine="480" w:firstLineChars="200"/>
              <w:jc w:val="left"/>
              <w:rPr>
                <w:rFonts w:hint="eastAsia" w:eastAsia="仿宋"/>
                <w:sz w:val="24"/>
                <w:szCs w:val="24"/>
                <w:lang w:val="en-US" w:eastAsia="zh-CN"/>
              </w:rPr>
            </w:pPr>
            <w:r>
              <w:rPr>
                <w:rFonts w:hint="eastAsia" w:eastAsia="仿宋"/>
                <w:sz w:val="24"/>
                <w:szCs w:val="24"/>
                <w:lang w:val="en-US" w:eastAsia="zh-CN"/>
              </w:rPr>
              <w:t>10、2023年1-10月共支出项目人员费用65776.48元，用于项目的日常执行。</w:t>
            </w:r>
          </w:p>
          <w:p>
            <w:pPr>
              <w:spacing w:line="360" w:lineRule="auto"/>
              <w:ind w:firstLine="480" w:firstLineChars="200"/>
              <w:jc w:val="left"/>
              <w:rPr>
                <w:rFonts w:hint="default" w:eastAsia="仿宋"/>
                <w:sz w:val="24"/>
                <w:szCs w:val="24"/>
                <w:lang w:val="en-US" w:eastAsia="zh-CN"/>
              </w:rPr>
            </w:pPr>
          </w:p>
          <w:p>
            <w:pPr>
              <w:spacing w:line="360" w:lineRule="auto"/>
              <w:jc w:val="left"/>
              <w:rPr>
                <w:rFonts w:hint="default" w:eastAsia="仿宋"/>
                <w:b/>
                <w:bCs/>
                <w:sz w:val="24"/>
                <w:szCs w:val="24"/>
                <w:lang w:val="en-US" w:eastAsia="zh-CN"/>
              </w:rPr>
            </w:pPr>
            <w:r>
              <w:rPr>
                <w:rFonts w:hint="eastAsia" w:eastAsia="仿宋"/>
                <w:b/>
                <w:bCs/>
                <w:sz w:val="24"/>
                <w:szCs w:val="24"/>
                <w:lang w:val="en-US" w:eastAsia="zh-CN"/>
              </w:rPr>
              <w:t>三</w:t>
            </w:r>
            <w:r>
              <w:rPr>
                <w:rFonts w:hint="eastAsia" w:eastAsia="仿宋"/>
                <w:b/>
                <w:bCs/>
                <w:sz w:val="24"/>
                <w:szCs w:val="24"/>
              </w:rPr>
              <w:t>、项目</w:t>
            </w:r>
            <w:r>
              <w:rPr>
                <w:rFonts w:hint="eastAsia" w:eastAsia="仿宋"/>
                <w:b/>
                <w:bCs/>
                <w:sz w:val="24"/>
                <w:szCs w:val="24"/>
                <w:lang w:val="en-US" w:eastAsia="zh-CN"/>
              </w:rPr>
              <w:t>本年度已完成目标</w:t>
            </w:r>
          </w:p>
          <w:p>
            <w:pPr>
              <w:spacing w:line="360" w:lineRule="auto"/>
              <w:ind w:firstLine="480" w:firstLineChars="200"/>
              <w:jc w:val="left"/>
              <w:rPr>
                <w:rFonts w:hint="default" w:eastAsia="仿宋"/>
                <w:sz w:val="24"/>
                <w:szCs w:val="24"/>
                <w:lang w:val="en-US" w:eastAsia="zh-CN"/>
              </w:rPr>
            </w:pPr>
            <w:r>
              <w:rPr>
                <w:rFonts w:hint="eastAsia" w:eastAsia="仿宋"/>
                <w:sz w:val="24"/>
                <w:szCs w:val="24"/>
                <w:lang w:val="en-US" w:eastAsia="zh-CN"/>
              </w:rPr>
              <w:t>截至2023年10月，共计筹款793552.22元，项目为1900余位困境老人提供必要的养老服务及生活物资，共计支出419019.15元。</w:t>
            </w:r>
          </w:p>
          <w:p>
            <w:pPr>
              <w:jc w:val="both"/>
              <w:rPr>
                <w:rFonts w:hint="eastAsia" w:ascii="微软雅黑" w:hAnsi="微软雅黑" w:eastAsia="微软雅黑" w:cs="微软雅黑"/>
                <w:b/>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8" w:hRule="atLeast"/>
        </w:trPr>
        <w:tc>
          <w:tcPr>
            <w:tcW w:w="2059" w:type="dxa"/>
            <w:vAlign w:val="center"/>
          </w:tcPr>
          <w:p>
            <w:pPr>
              <w:jc w:val="center"/>
              <w:rPr>
                <w:rFonts w:hint="eastAsia" w:ascii="微软雅黑" w:hAnsi="微软雅黑" w:cs="微软雅黑" w:eastAsiaTheme="minorEastAsia"/>
                <w:b/>
                <w:sz w:val="24"/>
                <w:szCs w:val="24"/>
                <w:vertAlign w:val="baseline"/>
                <w:lang w:val="en-US" w:eastAsia="zh-CN"/>
              </w:rPr>
            </w:pPr>
            <w:r>
              <w:rPr>
                <w:b/>
                <w:sz w:val="24"/>
                <w:szCs w:val="24"/>
              </w:rPr>
              <w:t>项目</w:t>
            </w:r>
            <w:r>
              <w:rPr>
                <w:rFonts w:hint="eastAsia"/>
                <w:b/>
                <w:sz w:val="24"/>
                <w:szCs w:val="24"/>
              </w:rPr>
              <w:t>执行</w:t>
            </w:r>
            <w:r>
              <w:rPr>
                <w:rFonts w:hint="eastAsia"/>
                <w:b/>
                <w:sz w:val="24"/>
                <w:szCs w:val="24"/>
                <w:lang w:val="en-US" w:eastAsia="zh-CN"/>
              </w:rPr>
              <w:t>成效</w:t>
            </w:r>
          </w:p>
        </w:tc>
        <w:tc>
          <w:tcPr>
            <w:tcW w:w="6463" w:type="dxa"/>
            <w:vAlign w:val="top"/>
          </w:tcPr>
          <w:p>
            <w:pPr>
              <w:widowControl/>
              <w:numPr>
                <w:ilvl w:val="0"/>
                <w:numId w:val="1"/>
              </w:numPr>
              <w:spacing w:line="360" w:lineRule="auto"/>
              <w:jc w:val="both"/>
              <w:rPr>
                <w:rFonts w:hint="eastAsia" w:eastAsia="仿宋"/>
                <w:b/>
                <w:bCs/>
                <w:sz w:val="24"/>
                <w:szCs w:val="24"/>
                <w:lang w:val="en-US" w:eastAsia="zh-CN"/>
              </w:rPr>
            </w:pPr>
            <w:r>
              <w:rPr>
                <w:rFonts w:hint="eastAsia" w:eastAsia="仿宋"/>
                <w:b/>
                <w:bCs/>
                <w:sz w:val="24"/>
                <w:szCs w:val="24"/>
              </w:rPr>
              <w:t>项目整体</w:t>
            </w:r>
            <w:r>
              <w:rPr>
                <w:rFonts w:hint="eastAsia" w:eastAsia="仿宋"/>
                <w:b/>
                <w:bCs/>
                <w:sz w:val="24"/>
                <w:szCs w:val="24"/>
                <w:lang w:val="en-US" w:eastAsia="zh-CN"/>
              </w:rPr>
              <w:t>成效</w:t>
            </w:r>
          </w:p>
          <w:p>
            <w:pPr>
              <w:widowControl/>
              <w:spacing w:line="360" w:lineRule="auto"/>
              <w:jc w:val="both"/>
              <w:rPr>
                <w:rFonts w:hint="eastAsia" w:eastAsia="仿宋"/>
                <w:sz w:val="24"/>
                <w:szCs w:val="24"/>
                <w:lang w:val="en-US" w:eastAsia="zh-CN"/>
              </w:rPr>
            </w:pPr>
            <w:r>
              <w:rPr>
                <w:rFonts w:hint="eastAsia" w:eastAsia="仿宋"/>
                <w:sz w:val="24"/>
                <w:szCs w:val="24"/>
                <w:lang w:val="en-US" w:eastAsia="zh-CN"/>
              </w:rPr>
              <w:t>为1900余位困境老人提供必要的养老服务及生活物资，共计支出419019.15元。</w:t>
            </w:r>
          </w:p>
          <w:p>
            <w:pPr>
              <w:widowControl/>
              <w:spacing w:line="360" w:lineRule="auto"/>
              <w:jc w:val="both"/>
              <w:rPr>
                <w:rFonts w:hint="default" w:eastAsia="仿宋"/>
                <w:sz w:val="24"/>
                <w:szCs w:val="24"/>
                <w:lang w:val="en-US" w:eastAsia="zh-CN"/>
              </w:rPr>
            </w:pPr>
          </w:p>
          <w:p>
            <w:pPr>
              <w:numPr>
                <w:ilvl w:val="0"/>
                <w:numId w:val="1"/>
              </w:numPr>
              <w:ind w:left="0" w:leftChars="0" w:firstLine="0" w:firstLineChars="0"/>
              <w:jc w:val="both"/>
              <w:rPr>
                <w:rFonts w:hint="eastAsia" w:eastAsia="仿宋"/>
                <w:b/>
                <w:bCs/>
                <w:sz w:val="24"/>
                <w:szCs w:val="24"/>
                <w:lang w:val="en-US" w:eastAsia="zh-CN"/>
              </w:rPr>
            </w:pPr>
            <w:r>
              <w:rPr>
                <w:rFonts w:hint="eastAsia" w:eastAsia="仿宋"/>
                <w:b/>
                <w:bCs/>
                <w:sz w:val="24"/>
                <w:szCs w:val="24"/>
                <w:lang w:val="en-US" w:eastAsia="zh-CN"/>
              </w:rPr>
              <w:t>执行团队的成长</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1、项目研发及发展：</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（1）对原有项目进行了仔细的梳理和复盘，优化了项目执行，使项目执行方式多样化，从不同角度回应受助对象的需求。</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（2）对接多家有资质的养老机构，</w:t>
            </w:r>
            <w:r>
              <w:rPr>
                <w:rFonts w:hint="eastAsia" w:eastAsia="仿宋"/>
                <w:sz w:val="24"/>
                <w:szCs w:val="24"/>
              </w:rPr>
              <w:t>发挥公募基金会的公众筹款优势，</w:t>
            </w:r>
            <w:r>
              <w:rPr>
                <w:rFonts w:hint="eastAsia" w:eastAsia="仿宋"/>
                <w:sz w:val="24"/>
                <w:szCs w:val="24"/>
                <w:lang w:eastAsia="zh-Hans"/>
              </w:rPr>
              <w:t>整合资源</w:t>
            </w:r>
            <w:r>
              <w:rPr>
                <w:rFonts w:hint="eastAsia" w:eastAsia="仿宋"/>
                <w:sz w:val="24"/>
                <w:szCs w:val="24"/>
                <w:lang w:val="en-US" w:eastAsia="zh-CN"/>
              </w:rPr>
              <w:t>。</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2、筹款工作：</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（1）筹款产品及筹款颗粒多样化调整。</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eastAsia" w:eastAsia="仿宋"/>
                <w:sz w:val="24"/>
                <w:szCs w:val="24"/>
                <w:lang w:val="en-US" w:eastAsia="zh-CN"/>
              </w:rPr>
              <w:t>（2）与捐赠人及时有效的沟通并做好项目反馈。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8" w:hRule="atLeast"/>
        </w:trPr>
        <w:tc>
          <w:tcPr>
            <w:tcW w:w="2059" w:type="dxa"/>
            <w:vAlign w:val="center"/>
          </w:tcPr>
          <w:p>
            <w:pPr>
              <w:jc w:val="center"/>
              <w:rPr>
                <w:rFonts w:hint="eastAsia"/>
                <w:b/>
                <w:sz w:val="24"/>
                <w:szCs w:val="24"/>
                <w:lang w:val="en-US" w:eastAsia="zh-CN"/>
              </w:rPr>
            </w:pPr>
            <w:r>
              <w:rPr>
                <w:b/>
                <w:sz w:val="24"/>
                <w:szCs w:val="24"/>
              </w:rPr>
              <w:t>项目</w:t>
            </w:r>
            <w:r>
              <w:rPr>
                <w:rFonts w:hint="eastAsia"/>
                <w:b/>
                <w:sz w:val="24"/>
                <w:szCs w:val="24"/>
              </w:rPr>
              <w:t>执行</w:t>
            </w:r>
            <w:r>
              <w:rPr>
                <w:rFonts w:hint="eastAsia"/>
                <w:b/>
                <w:sz w:val="24"/>
                <w:szCs w:val="24"/>
                <w:lang w:val="en-US" w:eastAsia="zh-CN"/>
              </w:rPr>
              <w:t>图片</w:t>
            </w:r>
          </w:p>
          <w:p>
            <w:pPr>
              <w:jc w:val="center"/>
              <w:rPr>
                <w:rFonts w:hint="default" w:ascii="微软雅黑" w:hAnsi="微软雅黑" w:cs="微软雅黑" w:eastAsiaTheme="minorEastAsia"/>
                <w:b/>
                <w:sz w:val="24"/>
                <w:szCs w:val="24"/>
                <w:vertAlign w:val="baseline"/>
                <w:lang w:val="en-US" w:eastAsia="zh-CN"/>
              </w:rPr>
            </w:pPr>
            <w:r>
              <w:rPr>
                <w:rFonts w:hint="eastAsia"/>
                <w:b/>
                <w:sz w:val="24"/>
                <w:szCs w:val="24"/>
                <w:lang w:val="en-US" w:eastAsia="zh-CN"/>
              </w:rPr>
              <w:t>展示</w:t>
            </w:r>
          </w:p>
        </w:tc>
        <w:tc>
          <w:tcPr>
            <w:tcW w:w="6463" w:type="dxa"/>
            <w:vAlign w:val="top"/>
          </w:tcPr>
          <w:p>
            <w:pPr>
              <w:jc w:val="both"/>
              <w:rPr>
                <w:rFonts w:hint="eastAsia" w:eastAsia="仿宋"/>
                <w:b/>
                <w:bCs/>
                <w:sz w:val="24"/>
                <w:szCs w:val="24"/>
                <w:lang w:val="en-US" w:eastAsia="zh-CN"/>
              </w:rPr>
            </w:pPr>
          </w:p>
          <w:p>
            <w:pPr>
              <w:jc w:val="both"/>
              <w:rPr>
                <w:rFonts w:hint="default" w:eastAsia="仿宋"/>
                <w:sz w:val="24"/>
                <w:szCs w:val="24"/>
                <w:lang w:val="en-US" w:eastAsia="zh-CN"/>
              </w:rPr>
            </w:pPr>
            <w:r>
              <w:rPr>
                <w:rFonts w:hint="eastAsia" w:eastAsia="仿宋"/>
                <w:b/>
                <w:bCs/>
                <w:sz w:val="24"/>
                <w:szCs w:val="24"/>
                <w:lang w:val="en-US" w:eastAsia="zh-CN"/>
              </w:rPr>
              <w:t>1、2023年2月，为21位困境老人提供专业的养老服务</w:t>
            </w:r>
          </w:p>
          <w:p>
            <w:pPr>
              <w:jc w:val="both"/>
              <w:rPr>
                <w:rFonts w:hint="eastAsia" w:eastAsia="仿宋"/>
                <w:b/>
                <w:bCs/>
                <w:sz w:val="24"/>
                <w:szCs w:val="24"/>
                <w:lang w:val="en-US" w:eastAsia="zh-CN"/>
              </w:rPr>
            </w:pPr>
            <w:r>
              <w:rPr>
                <w:rFonts w:hint="eastAsia" w:ascii="黑体" w:hAnsi="黑体" w:eastAsia="黑体" w:cs="黑体"/>
                <w:sz w:val="32"/>
                <w:szCs w:val="32"/>
                <w:lang w:val="en-US" w:eastAsia="zh-CN"/>
              </w:rPr>
              <w:drawing>
                <wp:inline distT="0" distB="0" distL="114300" distR="114300">
                  <wp:extent cx="1800225" cy="1864995"/>
                  <wp:effectExtent l="0" t="0" r="9525" b="1905"/>
                  <wp:docPr id="34" name="图片 34" descr="微信图片_2021122216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微信图片_202112221617245"/>
                          <pic:cNvPicPr>
                            <a:picLocks noChangeAspect="1"/>
                          </pic:cNvPicPr>
                        </pic:nvPicPr>
                        <pic:blipFill>
                          <a:blip r:embed="rId5"/>
                          <a:srcRect t="10486" b="11893"/>
                          <a:stretch>
                            <a:fillRect/>
                          </a:stretch>
                        </pic:blipFill>
                        <pic:spPr>
                          <a:xfrm>
                            <a:off x="0" y="0"/>
                            <a:ext cx="1800225" cy="1864995"/>
                          </a:xfrm>
                          <a:prstGeom prst="rect">
                            <a:avLst/>
                          </a:prstGeom>
                        </pic:spPr>
                      </pic:pic>
                    </a:graphicData>
                  </a:graphic>
                </wp:inline>
              </w:drawing>
            </w:r>
            <w:r>
              <w:rPr>
                <w:rFonts w:hint="default" w:ascii="黑体" w:hAnsi="黑体" w:eastAsia="黑体" w:cs="黑体"/>
                <w:sz w:val="32"/>
                <w:szCs w:val="32"/>
                <w:lang w:val="en-US" w:eastAsia="zh-CN"/>
              </w:rPr>
              <w:drawing>
                <wp:inline distT="0" distB="0" distL="114300" distR="114300">
                  <wp:extent cx="1800225" cy="1854200"/>
                  <wp:effectExtent l="0" t="0" r="9525" b="12700"/>
                  <wp:docPr id="134" name="图片 134" descr="665b5834cfdc06efb57a5c1f7be60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665b5834cfdc06efb57a5c1f7be609d"/>
                          <pic:cNvPicPr>
                            <a:picLocks noChangeAspect="1"/>
                          </pic:cNvPicPr>
                        </pic:nvPicPr>
                        <pic:blipFill>
                          <a:blip r:embed="rId6"/>
                          <a:srcRect t="4083" b="25188"/>
                          <a:stretch>
                            <a:fillRect/>
                          </a:stretch>
                        </pic:blipFill>
                        <pic:spPr>
                          <a:xfrm>
                            <a:off x="0" y="0"/>
                            <a:ext cx="1800225" cy="1854200"/>
                          </a:xfrm>
                          <a:prstGeom prst="rect">
                            <a:avLst/>
                          </a:prstGeom>
                        </pic:spPr>
                      </pic:pic>
                    </a:graphicData>
                  </a:graphic>
                </wp:inline>
              </w:drawing>
            </w:r>
          </w:p>
          <w:p>
            <w:pPr>
              <w:jc w:val="both"/>
              <w:rPr>
                <w:rFonts w:hint="default" w:eastAsia="仿宋"/>
                <w:b/>
                <w:bCs/>
                <w:sz w:val="24"/>
                <w:szCs w:val="24"/>
                <w:lang w:val="en-US" w:eastAsia="zh-CN"/>
              </w:rPr>
            </w:pPr>
          </w:p>
          <w:p>
            <w:pPr>
              <w:jc w:val="both"/>
              <w:rPr>
                <w:rFonts w:hint="eastAsia" w:eastAsia="仿宋"/>
                <w:b/>
                <w:bCs/>
                <w:sz w:val="24"/>
                <w:szCs w:val="24"/>
                <w:lang w:val="en-US" w:eastAsia="zh-CN"/>
              </w:rPr>
            </w:pPr>
            <w:r>
              <w:rPr>
                <w:rFonts w:hint="eastAsia" w:eastAsia="仿宋"/>
                <w:b/>
                <w:bCs/>
                <w:sz w:val="24"/>
                <w:szCs w:val="24"/>
                <w:lang w:val="en-US" w:eastAsia="zh-CN"/>
              </w:rPr>
              <w:t>2、2023年10月，为21位困境老人开展重阳节活动</w:t>
            </w:r>
            <w:bookmarkStart w:id="21" w:name="_GoBack"/>
            <w:bookmarkEnd w:id="21"/>
          </w:p>
          <w:p>
            <w:pPr>
              <w:jc w:val="both"/>
              <w:rPr>
                <w:rFonts w:hint="default" w:eastAsia="仿宋"/>
                <w:b/>
                <w:bCs/>
                <w:sz w:val="24"/>
                <w:szCs w:val="24"/>
                <w:lang w:val="en-US" w:eastAsia="zh-CN"/>
              </w:rPr>
            </w:pPr>
            <w:r>
              <w:rPr>
                <w:rFonts w:hint="default" w:eastAsia="仿宋"/>
                <w:b/>
                <w:bCs/>
                <w:sz w:val="24"/>
                <w:szCs w:val="24"/>
                <w:lang w:val="en-US" w:eastAsia="zh-CN"/>
              </w:rPr>
              <w:drawing>
                <wp:inline distT="0" distB="0" distL="114300" distR="114300">
                  <wp:extent cx="2879725" cy="3359785"/>
                  <wp:effectExtent l="0" t="0" r="15875" b="12065"/>
                  <wp:docPr id="4" name="图片 4" descr="a93714a381f6116d629263e2ab3ce6da-sz_327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93714a381f6116d629263e2ab3ce6da-sz_3271526"/>
                          <pic:cNvPicPr>
                            <a:picLocks noChangeAspect="1"/>
                          </pic:cNvPicPr>
                        </pic:nvPicPr>
                        <pic:blipFill>
                          <a:blip r:embed="rId7"/>
                          <a:stretch>
                            <a:fillRect/>
                          </a:stretch>
                        </pic:blipFill>
                        <pic:spPr>
                          <a:xfrm>
                            <a:off x="0" y="0"/>
                            <a:ext cx="2879725" cy="3359785"/>
                          </a:xfrm>
                          <a:prstGeom prst="rect">
                            <a:avLst/>
                          </a:prstGeom>
                        </pic:spPr>
                      </pic:pic>
                    </a:graphicData>
                  </a:graphic>
                </wp:inline>
              </w:drawing>
            </w:r>
          </w:p>
        </w:tc>
      </w:tr>
      <w:bookmarkEnd w:id="11"/>
      <w:bookmarkEnd w:id="12"/>
      <w:bookmarkEnd w:id="13"/>
      <w:bookmarkEnd w:id="14"/>
      <w:bookmarkEnd w:id="15"/>
    </w:tbl>
    <w:p>
      <w:pPr>
        <w:spacing w:line="360" w:lineRule="auto"/>
        <w:rPr>
          <w:rFonts w:hint="eastAsia" w:ascii="微软雅黑" w:hAnsi="微软雅黑" w:eastAsia="微软雅黑" w:cs="微软雅黑"/>
          <w:b/>
          <w:sz w:val="24"/>
          <w:szCs w:val="24"/>
        </w:rPr>
      </w:pPr>
      <w:bookmarkStart w:id="16" w:name="_Toc22161_WPSOffice_Level1"/>
      <w:bookmarkStart w:id="17" w:name="_Toc22667_WPSOffice_Level1"/>
      <w:bookmarkStart w:id="18" w:name="_Toc28850_WPSOffice_Level1"/>
      <w:bookmarkStart w:id="19" w:name="_Toc17525_WPSOffice_Level1"/>
      <w:bookmarkStart w:id="20" w:name="_Toc25406_WPSOffice_Level1"/>
    </w:p>
    <w:bookmarkEnd w:id="16"/>
    <w:bookmarkEnd w:id="17"/>
    <w:bookmarkEnd w:id="18"/>
    <w:bookmarkEnd w:id="19"/>
    <w:bookmarkEnd w:id="20"/>
    <w:p>
      <w:pPr>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三</w:t>
      </w:r>
      <w:r>
        <w:rPr>
          <w:rFonts w:hint="eastAsia" w:ascii="微软雅黑" w:hAnsi="微软雅黑" w:eastAsia="微软雅黑" w:cs="微软雅黑"/>
          <w:b/>
          <w:bCs/>
          <w:sz w:val="24"/>
          <w:szCs w:val="24"/>
        </w:rPr>
        <w:t>、项目</w:t>
      </w:r>
      <w:r>
        <w:rPr>
          <w:rFonts w:hint="eastAsia" w:ascii="微软雅黑" w:hAnsi="微软雅黑" w:eastAsia="微软雅黑" w:cs="微软雅黑"/>
          <w:b/>
          <w:bCs/>
          <w:sz w:val="24"/>
          <w:szCs w:val="24"/>
          <w:lang w:val="en-US" w:eastAsia="zh-CN"/>
        </w:rPr>
        <w:t>总结与</w:t>
      </w:r>
      <w:r>
        <w:rPr>
          <w:rFonts w:hint="eastAsia" w:ascii="微软雅黑" w:hAnsi="微软雅黑" w:eastAsia="微软雅黑" w:cs="微软雅黑"/>
          <w:b/>
          <w:bCs/>
          <w:sz w:val="24"/>
          <w:szCs w:val="24"/>
        </w:rPr>
        <w:t>评估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7" w:hRule="atLeast"/>
        </w:trPr>
        <w:tc>
          <w:tcPr>
            <w:tcW w:w="2376"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项目成果（实际成果）</w:t>
            </w:r>
          </w:p>
        </w:tc>
        <w:tc>
          <w:tcPr>
            <w:tcW w:w="6146" w:type="dxa"/>
          </w:tcPr>
          <w:p>
            <w:pPr>
              <w:widowControl w:val="0"/>
              <w:numPr>
                <w:ilvl w:val="0"/>
                <w:numId w:val="0"/>
              </w:numPr>
              <w:spacing w:line="360" w:lineRule="auto"/>
              <w:jc w:val="both"/>
              <w:rPr>
                <w:rFonts w:hint="eastAsia" w:eastAsia="仿宋"/>
                <w:sz w:val="24"/>
                <w:szCs w:val="24"/>
                <w:lang w:val="en-US" w:eastAsia="zh-CN"/>
              </w:rPr>
            </w:pPr>
            <w:r>
              <w:rPr>
                <w:rFonts w:hint="eastAsia" w:eastAsia="仿宋"/>
                <w:sz w:val="24"/>
                <w:szCs w:val="24"/>
                <w:lang w:val="en-US" w:eastAsia="zh-CN"/>
              </w:rPr>
              <w:t>一、项目成果</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筹集善款793552.22元，并为1900余位困境老人提供必要的养老服务及生活物资，共计支出419019.15元。</w:t>
            </w:r>
          </w:p>
          <w:p>
            <w:pPr>
              <w:widowControl w:val="0"/>
              <w:numPr>
                <w:ilvl w:val="0"/>
                <w:numId w:val="0"/>
              </w:numPr>
              <w:spacing w:line="360" w:lineRule="auto"/>
              <w:jc w:val="both"/>
              <w:rPr>
                <w:rFonts w:hint="default" w:eastAsia="仿宋"/>
                <w:sz w:val="24"/>
                <w:szCs w:val="24"/>
                <w:lang w:val="en-US" w:eastAsia="zh-CN"/>
              </w:rPr>
            </w:pPr>
            <w:r>
              <w:rPr>
                <w:rFonts w:hint="eastAsia" w:eastAsia="仿宋"/>
                <w:sz w:val="24"/>
                <w:szCs w:val="24"/>
                <w:lang w:val="en-US" w:eastAsia="zh-CN"/>
              </w:rPr>
              <w:t>这1900余位困境老人主要是那些无固定收入来源、无社会保障的孤寡、失独、失能等困境老人。他们可能因为年老体弱、疾病缠身、家庭经济压力等原因无法自理生活，需要社会的帮助和关怀。</w:t>
            </w:r>
            <w:r>
              <w:rPr>
                <w:rFonts w:hint="default" w:eastAsia="仿宋"/>
                <w:sz w:val="24"/>
                <w:szCs w:val="24"/>
                <w:lang w:val="en-US" w:eastAsia="zh-CN"/>
              </w:rPr>
              <w:t>在过程中，</w:t>
            </w:r>
            <w:r>
              <w:rPr>
                <w:rFonts w:hint="eastAsia" w:eastAsia="仿宋"/>
                <w:sz w:val="24"/>
                <w:szCs w:val="24"/>
                <w:lang w:val="en-US" w:eastAsia="zh-CN"/>
              </w:rPr>
              <w:t>项目组</w:t>
            </w:r>
            <w:r>
              <w:rPr>
                <w:rFonts w:hint="default" w:eastAsia="仿宋"/>
                <w:sz w:val="24"/>
                <w:szCs w:val="24"/>
                <w:lang w:val="en-US" w:eastAsia="zh-CN"/>
              </w:rPr>
              <w:t>认真评估老人的实际情况，包括身体状况、家庭情况、经济状况等，以确保所筹集的善款能够真正用于帮助这些老人。</w:t>
            </w:r>
          </w:p>
          <w:p>
            <w:pPr>
              <w:widowControl w:val="0"/>
              <w:numPr>
                <w:ilvl w:val="0"/>
                <w:numId w:val="0"/>
              </w:numPr>
              <w:spacing w:line="360" w:lineRule="auto"/>
              <w:jc w:val="both"/>
              <w:rPr>
                <w:rFonts w:hint="eastAsia" w:eastAsia="仿宋"/>
                <w:sz w:val="24"/>
                <w:szCs w:val="24"/>
                <w:lang w:val="en-US" w:eastAsia="zh-CN"/>
              </w:rPr>
            </w:pPr>
            <w:r>
              <w:rPr>
                <w:rFonts w:hint="eastAsia" w:eastAsia="仿宋"/>
                <w:sz w:val="24"/>
                <w:szCs w:val="24"/>
                <w:lang w:val="en-US" w:eastAsia="zh-CN"/>
              </w:rPr>
              <w:t>二、筹款与传播</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（1）筹款产品及筹款颗粒多样化调整。</w:t>
            </w:r>
          </w:p>
          <w:p>
            <w:pPr>
              <w:widowControl w:val="0"/>
              <w:numPr>
                <w:ilvl w:val="0"/>
                <w:numId w:val="0"/>
              </w:numPr>
              <w:spacing w:line="360" w:lineRule="auto"/>
              <w:ind w:firstLine="480" w:firstLineChars="200"/>
              <w:jc w:val="both"/>
              <w:rPr>
                <w:rFonts w:hint="eastAsia" w:ascii="微软雅黑" w:hAnsi="微软雅黑" w:eastAsia="微软雅黑" w:cs="微软雅黑"/>
                <w:sz w:val="18"/>
                <w:szCs w:val="18"/>
              </w:rPr>
            </w:pPr>
            <w:r>
              <w:rPr>
                <w:rFonts w:hint="eastAsia" w:eastAsia="仿宋"/>
                <w:sz w:val="24"/>
                <w:szCs w:val="24"/>
                <w:lang w:val="en-US" w:eastAsia="zh-CN"/>
              </w:rPr>
              <w:t>（2）与捐赠人及时有效的沟通并做好项目反馈。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4" w:hRule="atLeast"/>
        </w:trPr>
        <w:tc>
          <w:tcPr>
            <w:tcW w:w="2376"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w:t>
            </w:r>
            <w:r>
              <w:rPr>
                <w:rFonts w:hint="eastAsia" w:ascii="微软雅黑" w:hAnsi="微软雅黑" w:eastAsia="微软雅黑" w:cs="微软雅黑"/>
                <w:sz w:val="18"/>
                <w:szCs w:val="18"/>
                <w:lang w:val="en-US" w:eastAsia="zh-CN"/>
              </w:rPr>
              <w:t>总结与</w:t>
            </w:r>
            <w:r>
              <w:rPr>
                <w:rFonts w:hint="eastAsia" w:ascii="微软雅黑" w:hAnsi="微软雅黑" w:eastAsia="微软雅黑" w:cs="微软雅黑"/>
                <w:sz w:val="18"/>
                <w:szCs w:val="18"/>
              </w:rPr>
              <w:t>评价</w:t>
            </w:r>
          </w:p>
        </w:tc>
        <w:tc>
          <w:tcPr>
            <w:tcW w:w="6146" w:type="dxa"/>
          </w:tcPr>
          <w:p>
            <w:pPr>
              <w:widowControl w:val="0"/>
              <w:numPr>
                <w:ilvl w:val="0"/>
                <w:numId w:val="0"/>
              </w:numPr>
              <w:spacing w:line="360" w:lineRule="auto"/>
              <w:ind w:firstLine="480" w:firstLineChars="200"/>
              <w:jc w:val="both"/>
              <w:rPr>
                <w:rFonts w:hint="eastAsia" w:eastAsia="仿宋"/>
                <w:sz w:val="24"/>
                <w:szCs w:val="24"/>
                <w:lang w:val="en-US" w:eastAsia="zh-CN"/>
              </w:rPr>
            </w:pPr>
            <w:r>
              <w:rPr>
                <w:rFonts w:hint="eastAsia" w:eastAsia="仿宋"/>
                <w:sz w:val="24"/>
                <w:szCs w:val="24"/>
                <w:lang w:val="en-US" w:eastAsia="zh-CN"/>
              </w:rPr>
              <w:t>本项目不仅为</w:t>
            </w:r>
            <w:r>
              <w:rPr>
                <w:rFonts w:hint="default" w:eastAsia="仿宋"/>
                <w:sz w:val="24"/>
                <w:szCs w:val="24"/>
                <w:lang w:val="en-US" w:eastAsia="zh-CN"/>
              </w:rPr>
              <w:t>困境老人提供了必要的养老服务和生活物资，还通过与相关机构和志愿者的合作，为老人提供了更为全面和细致的帮助。这些帮助不仅改善了老人们的生活质量，更让他们感受到了社会的温暖和关怀。</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default" w:eastAsia="仿宋"/>
                <w:sz w:val="24"/>
                <w:szCs w:val="24"/>
                <w:lang w:val="en-US" w:eastAsia="zh-CN"/>
              </w:rPr>
              <w:t>同时，</w:t>
            </w:r>
            <w:r>
              <w:rPr>
                <w:rFonts w:hint="eastAsia" w:eastAsia="仿宋"/>
                <w:sz w:val="24"/>
                <w:szCs w:val="24"/>
                <w:lang w:val="en-US" w:eastAsia="zh-CN"/>
              </w:rPr>
              <w:t>本</w:t>
            </w:r>
            <w:r>
              <w:rPr>
                <w:rFonts w:hint="default" w:eastAsia="仿宋"/>
                <w:sz w:val="24"/>
                <w:szCs w:val="24"/>
                <w:lang w:val="en-US" w:eastAsia="zh-CN"/>
              </w:rPr>
              <w:t>项目也注重了志愿者和工作人员的培训和管理，确保他们能够以专业和负责的态度为老人提供帮助。</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default" w:eastAsia="仿宋"/>
                <w:sz w:val="24"/>
                <w:szCs w:val="24"/>
                <w:lang w:val="en-US" w:eastAsia="zh-CN"/>
              </w:rPr>
              <w:t>尽管</w:t>
            </w:r>
            <w:r>
              <w:rPr>
                <w:rFonts w:hint="eastAsia" w:eastAsia="仿宋"/>
                <w:sz w:val="24"/>
                <w:szCs w:val="24"/>
                <w:lang w:val="en-US" w:eastAsia="zh-CN"/>
              </w:rPr>
              <w:t>如此</w:t>
            </w:r>
            <w:r>
              <w:rPr>
                <w:rFonts w:hint="default" w:eastAsia="仿宋"/>
                <w:sz w:val="24"/>
                <w:szCs w:val="24"/>
                <w:lang w:val="en-US" w:eastAsia="zh-CN"/>
              </w:rPr>
              <w:t>，在执行过程中</w:t>
            </w:r>
            <w:r>
              <w:rPr>
                <w:rFonts w:hint="eastAsia" w:eastAsia="仿宋"/>
                <w:sz w:val="24"/>
                <w:szCs w:val="24"/>
                <w:lang w:val="en-US" w:eastAsia="zh-CN"/>
              </w:rPr>
              <w:t>仍</w:t>
            </w:r>
            <w:r>
              <w:rPr>
                <w:rFonts w:hint="default" w:eastAsia="仿宋"/>
                <w:sz w:val="24"/>
                <w:szCs w:val="24"/>
                <w:lang w:val="en-US" w:eastAsia="zh-CN"/>
              </w:rPr>
              <w:t>存在一些不足之处。例如，部分地区的老人可能因为地理原因无法享受到同等水平的帮助和服务。此外，项目在推广和宣传方面也存在一定的局限性，无法让更多的人了解和参与其中。</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default" w:eastAsia="仿宋"/>
                <w:sz w:val="24"/>
                <w:szCs w:val="24"/>
                <w:lang w:val="en-US" w:eastAsia="zh-CN"/>
              </w:rPr>
              <w:t>为了提升项目的运行效果和影响力，</w:t>
            </w:r>
            <w:r>
              <w:rPr>
                <w:rFonts w:hint="eastAsia" w:eastAsia="仿宋"/>
                <w:sz w:val="24"/>
                <w:szCs w:val="24"/>
                <w:lang w:val="en-US" w:eastAsia="zh-CN"/>
              </w:rPr>
              <w:t>项目组</w:t>
            </w:r>
            <w:r>
              <w:rPr>
                <w:rFonts w:hint="default" w:eastAsia="仿宋"/>
                <w:sz w:val="24"/>
                <w:szCs w:val="24"/>
                <w:lang w:val="en-US" w:eastAsia="zh-CN"/>
              </w:rPr>
              <w:t>考虑</w:t>
            </w:r>
            <w:r>
              <w:rPr>
                <w:rFonts w:hint="eastAsia" w:eastAsia="仿宋"/>
                <w:sz w:val="24"/>
                <w:szCs w:val="24"/>
                <w:lang w:val="en-US" w:eastAsia="zh-CN"/>
              </w:rPr>
              <w:t>从</w:t>
            </w:r>
            <w:r>
              <w:rPr>
                <w:rFonts w:hint="default" w:eastAsia="仿宋"/>
                <w:sz w:val="24"/>
                <w:szCs w:val="24"/>
                <w:lang w:val="en-US" w:eastAsia="zh-CN"/>
              </w:rPr>
              <w:t>以下几个方面</w:t>
            </w:r>
            <w:r>
              <w:rPr>
                <w:rFonts w:hint="eastAsia" w:eastAsia="仿宋"/>
                <w:sz w:val="24"/>
                <w:szCs w:val="24"/>
                <w:lang w:val="en-US" w:eastAsia="zh-CN"/>
              </w:rPr>
              <w:t>进行改进</w:t>
            </w:r>
            <w:r>
              <w:rPr>
                <w:rFonts w:hint="default" w:eastAsia="仿宋"/>
                <w:sz w:val="24"/>
                <w:szCs w:val="24"/>
                <w:lang w:val="en-US" w:eastAsia="zh-CN"/>
              </w:rPr>
              <w:t>：</w:t>
            </w:r>
          </w:p>
          <w:p>
            <w:pPr>
              <w:widowControl w:val="0"/>
              <w:numPr>
                <w:ilvl w:val="0"/>
                <w:numId w:val="0"/>
              </w:numPr>
              <w:spacing w:line="360" w:lineRule="auto"/>
              <w:ind w:firstLine="480" w:firstLineChars="200"/>
              <w:jc w:val="both"/>
              <w:rPr>
                <w:rFonts w:hint="eastAsia" w:eastAsia="仿宋"/>
                <w:sz w:val="24"/>
                <w:szCs w:val="24"/>
                <w:lang w:val="en-US" w:eastAsia="zh-CN"/>
              </w:rPr>
            </w:pPr>
            <w:r>
              <w:rPr>
                <w:rFonts w:hint="default" w:eastAsia="仿宋"/>
                <w:sz w:val="24"/>
                <w:szCs w:val="24"/>
                <w:lang w:val="en-US" w:eastAsia="zh-CN"/>
              </w:rPr>
              <w:t>加强推广和宣传：通过更多的渠道和方式宣传项目和活动，吸引更多的人关注和支持社会公益事业。</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default" w:eastAsia="仿宋"/>
                <w:sz w:val="24"/>
                <w:szCs w:val="24"/>
                <w:lang w:val="en-US" w:eastAsia="zh-CN"/>
              </w:rPr>
              <w:t>拓展服务范围：可以考虑将项目拓展到更多的地区和群体中，为更多的人提供帮助和支持。同时也可以根据不同地区和群体的需求，制定更为详细和针对性的服务计划，提高服务质量和效果。</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default" w:eastAsia="仿宋"/>
                <w:sz w:val="24"/>
                <w:szCs w:val="24"/>
                <w:lang w:val="en-US" w:eastAsia="zh-CN"/>
              </w:rPr>
              <w:t>加强合作与联动：可以与更多的机构、企业和社会组织进行合作，实现资源的共享和互补，提高项目的运行效果和影响力。</w:t>
            </w:r>
          </w:p>
          <w:p>
            <w:pPr>
              <w:widowControl w:val="0"/>
              <w:numPr>
                <w:ilvl w:val="0"/>
                <w:numId w:val="0"/>
              </w:numPr>
              <w:spacing w:line="360" w:lineRule="auto"/>
              <w:ind w:firstLine="480" w:firstLineChars="200"/>
              <w:jc w:val="both"/>
              <w:rPr>
                <w:rFonts w:hint="default" w:eastAsia="仿宋"/>
                <w:sz w:val="24"/>
                <w:szCs w:val="24"/>
                <w:lang w:val="en-US" w:eastAsia="zh-CN"/>
              </w:rPr>
            </w:pPr>
            <w:r>
              <w:rPr>
                <w:rFonts w:hint="default" w:eastAsia="仿宋"/>
                <w:sz w:val="24"/>
                <w:szCs w:val="24"/>
                <w:lang w:val="en-US" w:eastAsia="zh-CN"/>
              </w:rPr>
              <w:t>持续优化和改进：根据反馈和评估结果，不断优化和改进项目的设计和管理方面，提高项目的运行效率和质量。</w:t>
            </w:r>
          </w:p>
          <w:p>
            <w:pPr>
              <w:rPr>
                <w:rFonts w:hint="eastAsia" w:ascii="微软雅黑" w:hAnsi="微软雅黑" w:eastAsia="微软雅黑" w:cs="微软雅黑"/>
                <w:sz w:val="18"/>
                <w:szCs w:val="18"/>
              </w:rPr>
            </w:pPr>
          </w:p>
        </w:tc>
      </w:tr>
    </w:tbl>
    <w:p>
      <w:pPr>
        <w:rPr>
          <w:rFonts w:hint="eastAsia" w:ascii="微软雅黑" w:hAnsi="微软雅黑" w:eastAsia="微软雅黑" w:cs="微软雅黑"/>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1318260" cy="4470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9454" cy="4712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57EC8"/>
    <w:multiLevelType w:val="singleLevel"/>
    <w:tmpl w:val="1C257E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ZTA1ZmUzMzM0YTBlNTc4ODE0N2NhYWMzMzg0ZjMifQ=="/>
  </w:docVars>
  <w:rsids>
    <w:rsidRoot w:val="00EF5A48"/>
    <w:rsid w:val="005C6B4F"/>
    <w:rsid w:val="00717007"/>
    <w:rsid w:val="00BB6A66"/>
    <w:rsid w:val="00EF5A48"/>
    <w:rsid w:val="00F753BF"/>
    <w:rsid w:val="1E2E346B"/>
    <w:rsid w:val="1F675C0C"/>
    <w:rsid w:val="224E617E"/>
    <w:rsid w:val="270C4266"/>
    <w:rsid w:val="285A1D89"/>
    <w:rsid w:val="2BD3162B"/>
    <w:rsid w:val="33D27826"/>
    <w:rsid w:val="35DA5444"/>
    <w:rsid w:val="454820E1"/>
    <w:rsid w:val="457E581B"/>
    <w:rsid w:val="45F162A2"/>
    <w:rsid w:val="5E79423B"/>
    <w:rsid w:val="61FA3C53"/>
    <w:rsid w:val="64197D81"/>
    <w:rsid w:val="67803418"/>
    <w:rsid w:val="6D492DD5"/>
    <w:rsid w:val="75BA3D05"/>
    <w:rsid w:val="76EDA9FC"/>
    <w:rsid w:val="7D7B7776"/>
    <w:rsid w:val="7DBD0730"/>
    <w:rsid w:val="7EF18879"/>
    <w:rsid w:val="B9F70DEE"/>
    <w:rsid w:val="DFFF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Words>
  <Characters>1391</Characters>
  <Lines>11</Lines>
  <Paragraphs>3</Paragraphs>
  <TotalTime>3</TotalTime>
  <ScaleCrop>false</ScaleCrop>
  <LinksUpToDate>false</LinksUpToDate>
  <CharactersWithSpaces>1631</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senxiaose</dc:creator>
  <cp:lastModifiedBy>尤尤</cp:lastModifiedBy>
  <dcterms:modified xsi:type="dcterms:W3CDTF">2023-11-15T15:28:56Z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2EE55A4184A54963B8B8A92B88BD1C46_13</vt:lpwstr>
  </property>
</Properties>
</file>