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微软雅黑" w:hAnsi="微软雅黑" w:eastAsia="微软雅黑" w:cs="微软雅黑"/>
          <w:b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204470</wp:posOffset>
                </wp:positionV>
                <wp:extent cx="1600200" cy="285750"/>
                <wp:effectExtent l="4445" t="4445" r="10795" b="1460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项目编号：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0.4pt;margin-top:16.1pt;height:22.5pt;width:126pt;z-index:251659264;mso-width-relative:page;mso-height-relative:page;" fillcolor="#FFFFFF" filled="t" stroked="t" coordsize="21600,21600" o:gfxdata="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DD&#10;NzA52AAAAAkBAAAPAAAAAAAAAAEAIAAAADgAAABkcnMvZG93bnJldi54bWxQSwECFAAUAAAACACH&#10;TuJA97v/70cCAACXBAAADgAAAAAAAAABACAAAAA9AQAAZHJzL2Uyb0RvYy54bWxQSwUGAAAAAAYA&#10;BgBZAQAA9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项目编号：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12" w:beforeLines="100" w:after="312" w:afterLines="100"/>
        <w:jc w:val="center"/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</w:pPr>
      <w:bookmarkStart w:id="0" w:name="_Toc26120_WPSOffice_Level1"/>
      <w:r>
        <w:rPr>
          <w:rFonts w:hint="eastAsia" w:ascii="微软雅黑" w:hAnsi="微软雅黑" w:eastAsia="微软雅黑" w:cs="微软雅黑"/>
          <w:b/>
          <w:sz w:val="32"/>
          <w:szCs w:val="32"/>
        </w:rPr>
        <w:t>无锡灵山慈善基金会</w:t>
      </w:r>
      <w: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  <w:t>“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困境人群医疗救助计划”项目</w:t>
      </w:r>
    </w:p>
    <w:p>
      <w:pPr>
        <w:spacing w:before="312" w:beforeLines="100" w:after="312" w:afterLines="100"/>
        <w:jc w:val="center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2023年度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报告</w:t>
      </w:r>
      <w:bookmarkEnd w:id="0"/>
    </w:p>
    <w:p>
      <w:pPr>
        <w:spacing w:before="312" w:beforeLines="100" w:after="312" w:afterLines="100"/>
        <w:jc w:val="center"/>
        <w:rPr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bookmarkStart w:id="1" w:name="_Toc9470_WPSOffice_Level2"/>
      <w:bookmarkStart w:id="2" w:name="_Toc22080_WPSOffice_Level2"/>
      <w:bookmarkStart w:id="3" w:name="_Toc21055_WPSOffice_Level2"/>
      <w:bookmarkStart w:id="4" w:name="_Toc7650_WPSOffice_Level2"/>
      <w:bookmarkStart w:id="5" w:name="_Toc23828_WPSOffice_Level2"/>
      <w:r>
        <w:rPr>
          <w:rFonts w:hint="eastAsia" w:ascii="微软雅黑" w:hAnsi="微软雅黑" w:eastAsia="微软雅黑" w:cs="微软雅黑"/>
          <w:b/>
          <w:sz w:val="24"/>
          <w:szCs w:val="24"/>
        </w:rPr>
        <w:t>报告周期：20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.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01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-20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.</w:t>
      </w:r>
      <w:bookmarkEnd w:id="1"/>
      <w:bookmarkEnd w:id="2"/>
      <w:bookmarkEnd w:id="3"/>
      <w:bookmarkEnd w:id="4"/>
      <w:bookmarkEnd w:id="5"/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10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FF0000"/>
          <w:sz w:val="24"/>
          <w:szCs w:val="24"/>
        </w:rPr>
      </w:pPr>
      <w:bookmarkStart w:id="6" w:name="_Toc3332_WPSOffice_Level1"/>
      <w:bookmarkStart w:id="7" w:name="_Toc13833_WPSOffice_Level1"/>
      <w:bookmarkStart w:id="8" w:name="_Toc19823_WPSOffice_Level1"/>
      <w:bookmarkStart w:id="9" w:name="_Toc10420_WPSOffice_Level1"/>
      <w:bookmarkStart w:id="10" w:name="_Toc22756_WPSOffice_Level1"/>
      <w:r>
        <w:rPr>
          <w:rFonts w:hint="eastAsia" w:ascii="微软雅黑" w:hAnsi="微软雅黑" w:eastAsia="微软雅黑" w:cs="微软雅黑"/>
          <w:b/>
          <w:sz w:val="24"/>
          <w:szCs w:val="24"/>
        </w:rPr>
        <w:t>一、基本信息</w:t>
      </w:r>
      <w:bookmarkEnd w:id="6"/>
      <w:bookmarkEnd w:id="7"/>
      <w:bookmarkEnd w:id="8"/>
      <w:bookmarkEnd w:id="9"/>
      <w:bookmarkEnd w:id="10"/>
    </w:p>
    <w:tbl>
      <w:tblPr>
        <w:tblStyle w:val="5"/>
        <w:tblW w:w="842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418"/>
        <w:gridCol w:w="1734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6" w:hRule="atLeast"/>
        </w:trPr>
        <w:tc>
          <w:tcPr>
            <w:tcW w:w="1812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>项目名称</w:t>
            </w:r>
          </w:p>
        </w:tc>
        <w:tc>
          <w:tcPr>
            <w:tcW w:w="2418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困境人群医疗救助计划</w:t>
            </w:r>
          </w:p>
        </w:tc>
        <w:tc>
          <w:tcPr>
            <w:tcW w:w="1734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类别</w:t>
            </w:r>
          </w:p>
        </w:tc>
        <w:tc>
          <w:tcPr>
            <w:tcW w:w="2456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助困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44" w:hRule="atLeast"/>
        </w:trPr>
        <w:tc>
          <w:tcPr>
            <w:tcW w:w="1812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简介</w:t>
            </w:r>
          </w:p>
        </w:tc>
        <w:tc>
          <w:tcPr>
            <w:tcW w:w="6608" w:type="dxa"/>
            <w:gridSpan w:val="3"/>
            <w:vAlign w:val="center"/>
          </w:tcPr>
          <w:p>
            <w:pPr>
              <w:spacing w:line="360" w:lineRule="auto"/>
              <w:ind w:firstLine="360" w:firstLineChars="200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项目旨在为困境人群提供基础的医疗保障：健康时通过免费健康体检，防患于未然；在疾病发生时提供一定的疾病救助资金，缓解困境群体经济压力；在面对重大疾病、意外时，提供急救金，救生命于危难。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7" w:hRule="atLeast"/>
        </w:trPr>
        <w:tc>
          <w:tcPr>
            <w:tcW w:w="1812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执行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>团队</w:t>
            </w:r>
          </w:p>
        </w:tc>
        <w:tc>
          <w:tcPr>
            <w:tcW w:w="2418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Hans"/>
              </w:rPr>
              <w:t>无锡灵山慈善基金会</w:t>
            </w:r>
          </w:p>
        </w:tc>
        <w:tc>
          <w:tcPr>
            <w:tcW w:w="1734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项目执行地点</w:t>
            </w:r>
          </w:p>
        </w:tc>
        <w:tc>
          <w:tcPr>
            <w:tcW w:w="2456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1" w:hRule="atLeast"/>
        </w:trPr>
        <w:tc>
          <w:tcPr>
            <w:tcW w:w="1812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执行周期</w:t>
            </w:r>
          </w:p>
        </w:tc>
        <w:tc>
          <w:tcPr>
            <w:tcW w:w="2418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2023.1-2023.10</w:t>
            </w:r>
          </w:p>
        </w:tc>
        <w:tc>
          <w:tcPr>
            <w:tcW w:w="173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项目执行支出</w:t>
            </w:r>
          </w:p>
        </w:tc>
        <w:tc>
          <w:tcPr>
            <w:tcW w:w="2456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2795098.85元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10" w:hRule="atLeast"/>
        </w:trPr>
        <w:tc>
          <w:tcPr>
            <w:tcW w:w="1812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受益人群</w:t>
            </w:r>
          </w:p>
        </w:tc>
        <w:tc>
          <w:tcPr>
            <w:tcW w:w="2418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为450位困境人群提供部分医疗救助金及医疗保险</w:t>
            </w:r>
          </w:p>
        </w:tc>
        <w:tc>
          <w:tcPr>
            <w:tcW w:w="1734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间接</w:t>
            </w:r>
          </w:p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受益人群</w:t>
            </w:r>
          </w:p>
        </w:tc>
        <w:tc>
          <w:tcPr>
            <w:tcW w:w="2456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bookmarkStart w:id="11" w:name="_Toc1462_WPSOffice_Level1"/>
      <w:bookmarkStart w:id="12" w:name="_Toc19231_WPSOffice_Level1"/>
      <w:bookmarkStart w:id="13" w:name="_Toc25641_WPSOffice_Level1"/>
      <w:bookmarkStart w:id="14" w:name="_Toc3131_WPSOffice_Level1"/>
      <w:bookmarkStart w:id="15" w:name="_Toc25408_WPSOffice_Level1"/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二、执行情况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6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3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微软雅黑" w:hAnsi="微软雅黑" w:cs="微软雅黑" w:eastAsia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执行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463" w:type="dxa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eastAsia="仿宋"/>
                <w:b/>
                <w:bCs/>
                <w:sz w:val="24"/>
                <w:szCs w:val="24"/>
              </w:rPr>
              <w:t>、项目执行周期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2023.01—2023.10</w:t>
            </w:r>
          </w:p>
          <w:p>
            <w:pPr>
              <w:spacing w:line="360" w:lineRule="auto"/>
              <w:jc w:val="left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eastAsia="仿宋"/>
                <w:b/>
                <w:bCs/>
                <w:sz w:val="24"/>
                <w:szCs w:val="24"/>
              </w:rPr>
              <w:t>、项目执行流程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1、2023年1月：为10位符合条件的困境群众提供医疗保险；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2、2023年2月：为1位困境群众提供医疗救助金支持；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3、2023年3月：为47位困境群众提供医疗救助金支持；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4、2023年4月：为19位困境群众提供医疗救助金支持；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5、2023年5月：为42位困境群众提供医疗救助金支持；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6、2023年6月：为45位困境群众提供医疗救助金支持；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7、2023年7月：为48位符合条件的困境群众提供补充医疗保险。为113位困境群众提供医疗救助金支持；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8、2023年8月：为52位困境群众提供医疗救助金支持；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9、2023年9月：为12位困境群众提供医疗救助金支持；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10、2023年10月：为71位困境群众提供医疗救助金支持；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11、2023年1—10月共计支出项目人员费用42322.63元，用于项目日常执行。</w:t>
            </w:r>
          </w:p>
          <w:p>
            <w:pPr>
              <w:spacing w:line="360" w:lineRule="auto"/>
              <w:jc w:val="left"/>
              <w:rPr>
                <w:rFonts w:hint="default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eastAsia="仿宋"/>
                <w:b/>
                <w:bCs/>
                <w:sz w:val="24"/>
                <w:szCs w:val="24"/>
              </w:rPr>
              <w:t>、项目</w:t>
            </w:r>
            <w:r>
              <w:rPr>
                <w:rFonts w:hint="eastAsia" w:eastAsia="仿宋"/>
                <w:b/>
                <w:bCs/>
                <w:sz w:val="24"/>
                <w:szCs w:val="24"/>
                <w:lang w:val="en-US" w:eastAsia="zh-CN"/>
              </w:rPr>
              <w:t>本年度已完成目标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截至2023年10月，共计筹款5642316.13元，项目为450位困境人群提供部分医疗救助金及医疗保险，共计支出2795098.85元。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08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微软雅黑" w:hAnsi="微软雅黑" w:cs="微软雅黑" w:eastAsia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项目</w:t>
            </w:r>
            <w:r>
              <w:rPr>
                <w:rFonts w:hint="eastAsia"/>
                <w:b/>
                <w:sz w:val="24"/>
                <w:szCs w:val="24"/>
              </w:rPr>
              <w:t>执行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成效</w:t>
            </w:r>
          </w:p>
        </w:tc>
        <w:tc>
          <w:tcPr>
            <w:tcW w:w="6463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</w:rPr>
              <w:t>项目整体</w:t>
            </w:r>
            <w:r>
              <w:rPr>
                <w:rFonts w:hint="eastAsia" w:eastAsia="仿宋"/>
                <w:b/>
                <w:bCs/>
                <w:sz w:val="24"/>
                <w:szCs w:val="24"/>
                <w:lang w:val="en-US" w:eastAsia="zh-CN"/>
              </w:rPr>
              <w:t>成效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为450位困境人群提供部分医疗救助金，共计支出2795098.85元。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eastAsia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  <w:lang w:val="en-US" w:eastAsia="zh-CN"/>
              </w:rPr>
              <w:t>二、执行团队的成长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firstLine="480" w:firstLineChars="200"/>
              <w:jc w:val="both"/>
              <w:rPr>
                <w:rFonts w:hint="eastAsia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1、项目研发及发展：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firstLine="480" w:firstLineChars="200"/>
              <w:jc w:val="both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（1）从个体偶发救助到系统帮扶。对一般有医保的患者而言，虽然可以报销一部分医疗费，但个人自费的部分，也是不小的压力，更何况那些没有医保的人群，不少家庭因此出现了“因病致贫”或“因病返贫”的现象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firstLine="480" w:firstLineChars="200"/>
              <w:jc w:val="both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如何在个体偶发疾病救助的基础上，最大限度地为困境师父和民众带来实实在在的医疗帮扶，令其无后顾之忧，安心治疗？经过无数个日夜的思索、考察和论证，我们推出了灵山医疗保障体系，覆盖面广、多渠道帮扶。</w:t>
            </w:r>
          </w:p>
          <w:p>
            <w:pPr>
              <w:widowControl w:val="0"/>
              <w:numPr>
                <w:ilvl w:val="0"/>
                <w:numId w:val="2"/>
              </w:numPr>
              <w:spacing w:line="360" w:lineRule="auto"/>
              <w:ind w:firstLine="480" w:firstLineChars="200"/>
              <w:jc w:val="both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"/>
                <w:sz w:val="24"/>
                <w:szCs w:val="24"/>
                <w:lang w:val="en-US" w:eastAsia="zh-CN"/>
              </w:rPr>
              <w:t>从普遍性救助到特殊困境群体帮扶</w:t>
            </w: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。这些年，灵山慈善的一线志工在走访中发现，在大山深处或位置偏僻的农村，有些60岁以上的老人，他们本身患有基础病或慢性病，却不在医保涵盖范围内，因此，今年医疗救助项目更多聚焦于深山困境老人，为他们提供相对稳定的医疗保障。</w:t>
            </w:r>
          </w:p>
          <w:p>
            <w:pPr>
              <w:widowControl w:val="0"/>
              <w:numPr>
                <w:ilvl w:val="0"/>
                <w:numId w:val="3"/>
              </w:numPr>
              <w:spacing w:line="360" w:lineRule="auto"/>
              <w:ind w:firstLine="480" w:firstLineChars="200"/>
              <w:jc w:val="both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筹款工作：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firstLine="480" w:firstLineChars="200"/>
              <w:jc w:val="both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"/>
                <w:sz w:val="24"/>
                <w:szCs w:val="24"/>
                <w:lang w:val="en-US" w:eastAsia="zh-CN"/>
              </w:rPr>
              <w:t>（1）筹款产品及筹款颗粒多样化调整。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firstLine="480" w:firstLineChars="200"/>
              <w:jc w:val="both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"/>
                <w:sz w:val="24"/>
                <w:szCs w:val="24"/>
                <w:lang w:val="en-US" w:eastAsia="zh-CN"/>
              </w:rPr>
              <w:t>（2）与捐赠人及时有效的沟通并做好项目反馈。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78" w:hRule="atLeast"/>
        </w:trPr>
        <w:tc>
          <w:tcPr>
            <w:tcW w:w="205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项目</w:t>
            </w:r>
            <w:r>
              <w:rPr>
                <w:rFonts w:hint="eastAsia"/>
                <w:b/>
                <w:sz w:val="24"/>
                <w:szCs w:val="24"/>
              </w:rPr>
              <w:t>执行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图片</w:t>
            </w:r>
          </w:p>
          <w:p>
            <w:pPr>
              <w:jc w:val="center"/>
              <w:rPr>
                <w:rFonts w:hint="default" w:ascii="微软雅黑" w:hAnsi="微软雅黑" w:cs="微软雅黑" w:eastAsia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展示</w:t>
            </w:r>
          </w:p>
        </w:tc>
        <w:tc>
          <w:tcPr>
            <w:tcW w:w="6463" w:type="dxa"/>
            <w:vAlign w:val="top"/>
          </w:tcPr>
          <w:p>
            <w:pPr>
              <w:jc w:val="both"/>
              <w:rPr>
                <w:rFonts w:hint="eastAsia" w:eastAsia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  <w:lang w:val="en-US" w:eastAsia="zh-CN"/>
              </w:rPr>
              <w:t>项目患者照片（部分）：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3775075" cy="2832735"/>
                  <wp:effectExtent l="0" t="0" r="9525" b="12065"/>
                  <wp:docPr id="2" name="图片 2" descr="陈静霞，拨付29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陈静霞，拨付2955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075" cy="283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eastAsia="仿宋"/>
                <w:b/>
                <w:bCs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3146425" cy="3580130"/>
                  <wp:effectExtent l="0" t="0" r="3175" b="1270"/>
                  <wp:docPr id="3" name="图片 3" descr="罗瑞峰，31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罗瑞峰，3155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425" cy="358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eastAsia="仿宋"/>
                <w:b/>
                <w:bCs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3977640" cy="2983230"/>
                  <wp:effectExtent l="0" t="0" r="3810" b="7620"/>
                  <wp:docPr id="4" name="图片 4" descr="卢大琨，29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卢大琨，2955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640" cy="298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eastAsia="仿宋"/>
                <w:b/>
                <w:bCs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3980815" cy="5307965"/>
                  <wp:effectExtent l="0" t="0" r="635" b="6985"/>
                  <wp:docPr id="5" name="图片 5" descr="李晓华，29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李晓华，2955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815" cy="530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6" w:name="_GoBack"/>
            <w:r>
              <w:rPr>
                <w:rFonts w:hint="default" w:eastAsia="仿宋"/>
                <w:b/>
                <w:bCs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3957955" cy="2228215"/>
                  <wp:effectExtent l="0" t="0" r="4445" b="6985"/>
                  <wp:docPr id="6" name="图片 6" descr="李沐子29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李沐子2961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7955" cy="22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6"/>
            <w:r>
              <w:rPr>
                <w:rFonts w:hint="default" w:eastAsia="仿宋"/>
                <w:b/>
                <w:bCs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3959860" cy="2969895"/>
                  <wp:effectExtent l="0" t="0" r="2540" b="1905"/>
                  <wp:docPr id="7" name="图片 7" descr="金涵钰，37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金涵钰，3753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860" cy="296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eastAsia="仿宋"/>
                <w:b/>
                <w:bCs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2684145" cy="3579495"/>
                  <wp:effectExtent l="0" t="0" r="8255" b="1905"/>
                  <wp:docPr id="8" name="图片 8" descr="贾宇墨，29552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贾宇墨，29552.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145" cy="357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eastAsia="仿宋"/>
                <w:b/>
                <w:bCs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3976370" cy="2972435"/>
                  <wp:effectExtent l="0" t="0" r="5080" b="18415"/>
                  <wp:docPr id="9" name="图片 9" descr="黄珍妮，29574.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黄珍妮，29574.6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6370" cy="297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eastAsia="仿宋"/>
                <w:b/>
                <w:bCs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3968750" cy="2232025"/>
                  <wp:effectExtent l="0" t="0" r="12700" b="15875"/>
                  <wp:docPr id="10" name="图片 10" descr="胡书瑞，29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胡书瑞，2955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50" cy="223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</w:p>
    <w:bookmarkEnd w:id="11"/>
    <w:bookmarkEnd w:id="12"/>
    <w:bookmarkEnd w:id="13"/>
    <w:bookmarkEnd w:id="14"/>
    <w:bookmarkEnd w:id="15"/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、项目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总结与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评估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37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项目成果（实际成果）</w:t>
            </w:r>
          </w:p>
        </w:tc>
        <w:tc>
          <w:tcPr>
            <w:tcW w:w="6146" w:type="dxa"/>
          </w:tcPr>
          <w:p>
            <w:pPr>
              <w:spacing w:line="360" w:lineRule="auto"/>
              <w:ind w:firstLine="480" w:firstLineChars="200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“困境人群医疗救助”计划在2023年度中筹集善款 5642316.13元，并为450位困境患者拨付了2795098.85元善 款用于患者治疗及康复。 这 450位困境患者，多由于各种客观原因，自身经济实力并不足，疾病的发生给本不富裕的 家庭带来了更为沉重的负担。病种涉及多种，部分患者治疗费用缺口巨大。</w:t>
            </w:r>
          </w:p>
          <w:p>
            <w:pPr>
              <w:spacing w:line="360" w:lineRule="auto"/>
              <w:ind w:firstLine="480" w:firstLineChars="200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为了解决这些问题，项目组采取了多元化的筹款方式，通过各种渠道为这些患者筹集医疗费用。并且，我们及时将筹集到的善款拨付给这些需要帮助的患者，为他们提供实实在在的资金支持。这不仅仅是经济上的援助，更多的是一种关怀和温暖的传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8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项目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总结与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评价</w:t>
            </w:r>
          </w:p>
        </w:tc>
        <w:tc>
          <w:tcPr>
            <w:tcW w:w="6146" w:type="dxa"/>
          </w:tcPr>
          <w:p>
            <w:pPr>
              <w:spacing w:line="360" w:lineRule="auto"/>
              <w:ind w:firstLine="482" w:firstLineChars="200"/>
              <w:rPr>
                <w:rFonts w:hint="eastAsia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  <w:lang w:val="en-US" w:eastAsia="zh-CN"/>
              </w:rPr>
              <w:t>品牌推广</w:t>
            </w:r>
          </w:p>
          <w:p>
            <w:pPr>
              <w:spacing w:line="360" w:lineRule="auto"/>
              <w:ind w:firstLine="480" w:firstLineChars="200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目前我们对项目的产品化思维还需要提高，明确项目的品牌定位，强调项目的社会价值和情感共鸣。</w:t>
            </w:r>
          </w:p>
          <w:p>
            <w:pPr>
              <w:spacing w:line="360" w:lineRule="auto"/>
              <w:ind w:firstLine="480" w:firstLineChars="200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通过真实的故事和案例，让人们更好地了解项目的意义和效果。</w:t>
            </w:r>
          </w:p>
          <w:p>
            <w:pPr>
              <w:spacing w:line="360" w:lineRule="auto"/>
              <w:ind w:firstLine="480" w:firstLineChars="200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利用社交媒体、网络广告、电视广告等多元化渠道进行品牌推广。</w:t>
            </w:r>
          </w:p>
          <w:p>
            <w:pPr>
              <w:spacing w:line="360" w:lineRule="auto"/>
              <w:ind w:firstLine="480" w:firstLineChars="200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线下推广方面，可以与相关组织、社区合作，举办一些公益活动、讲座、宣传活动等，以增加品牌知名度和影响力。</w:t>
            </w:r>
          </w:p>
          <w:p>
            <w:pPr>
              <w:spacing w:line="360" w:lineRule="auto"/>
              <w:ind w:firstLine="482" w:firstLineChars="200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  <w:lang w:val="en-US" w:eastAsia="zh-CN"/>
              </w:rPr>
              <w:t>多渠道招募志愿者</w:t>
            </w:r>
          </w:p>
          <w:p>
            <w:pPr>
              <w:spacing w:line="360" w:lineRule="auto"/>
              <w:ind w:firstLine="480" w:firstLineChars="200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除了线上招募外，项目组计划通过社区、学校、企业等渠道进行志愿者招募。并且为志愿者提供一定的激励和回报，例如志愿者证书、感谢信、优惠券等，以增加志愿者的积极性和参与度。</w:t>
            </w:r>
          </w:p>
          <w:p>
            <w:pPr>
              <w:spacing w:line="360" w:lineRule="auto"/>
              <w:ind w:firstLine="482" w:firstLineChars="200"/>
              <w:rPr>
                <w:rFonts w:hint="eastAsia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  <w:lang w:val="en-US" w:eastAsia="zh-CN"/>
              </w:rPr>
              <w:t>社会公益发展倡导</w:t>
            </w:r>
          </w:p>
          <w:p>
            <w:pPr>
              <w:spacing w:line="360" w:lineRule="auto"/>
              <w:ind w:firstLine="480" w:firstLineChars="200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新的一年，计划与更多的爱心企业、公益组织合作，共同推广社会公益事业，并倡导更多的个人和企业参与其中。通过各种渠道向公众传递公益理念和价值观，以增强公众对公益事业的认同和支持。</w:t>
            </w:r>
          </w:p>
          <w:p>
            <w:pPr>
              <w:spacing w:line="360" w:lineRule="auto"/>
              <w:ind w:firstLine="482" w:firstLineChars="200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  <w:lang w:val="en-US" w:eastAsia="zh-CN"/>
              </w:rPr>
              <w:t>创新筹款方式</w:t>
            </w:r>
          </w:p>
          <w:p>
            <w:pPr>
              <w:spacing w:line="360" w:lineRule="auto"/>
              <w:ind w:firstLine="480" w:firstLineChars="200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除了传统的捐款方式外，项目组计划尝试一些创新的筹款方式，如义卖、公益拍卖等。这些方式可以吸引更多人的关注和参与，并增加项目的曝光度和筹款金额。</w:t>
            </w:r>
          </w:p>
          <w:p>
            <w:pPr>
              <w:spacing w:line="360" w:lineRule="auto"/>
              <w:ind w:firstLine="440" w:firstLineChars="200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05073B"/>
                <w:spacing w:val="0"/>
                <w:sz w:val="22"/>
                <w:szCs w:val="22"/>
                <w:shd w:val="clear" w:fill="FDFDFE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egoe UI">
    <w:altName w:val="苹方-简"/>
    <w:panose1 w:val="020B0502040204020203"/>
    <w:charset w:val="00"/>
    <w:family w:val="auto"/>
    <w:pitch w:val="default"/>
    <w:sig w:usb0="00000000" w:usb1="00000000" w:usb2="00000009" w:usb3="00000000" w:csb0="200001F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drawing>
        <wp:inline distT="0" distB="0" distL="0" distR="0">
          <wp:extent cx="1318260" cy="44704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454" cy="471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03C2F0"/>
    <w:multiLevelType w:val="singleLevel"/>
    <w:tmpl w:val="C103C2F0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1C257EC8"/>
    <w:multiLevelType w:val="singleLevel"/>
    <w:tmpl w:val="1C257E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7092AAC"/>
    <w:multiLevelType w:val="singleLevel"/>
    <w:tmpl w:val="67092AA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jZTA1ZmUzMzM0YTBlNTc4ODE0N2NhYWMzMzg0ZjMifQ=="/>
  </w:docVars>
  <w:rsids>
    <w:rsidRoot w:val="00EF5A48"/>
    <w:rsid w:val="005C6B4F"/>
    <w:rsid w:val="00717007"/>
    <w:rsid w:val="00EF5A48"/>
    <w:rsid w:val="00F753BF"/>
    <w:rsid w:val="06806F2F"/>
    <w:rsid w:val="0A526265"/>
    <w:rsid w:val="1E2E346B"/>
    <w:rsid w:val="20A70AA6"/>
    <w:rsid w:val="224E617E"/>
    <w:rsid w:val="280E4925"/>
    <w:rsid w:val="33D27826"/>
    <w:rsid w:val="35DA5444"/>
    <w:rsid w:val="3BDFA867"/>
    <w:rsid w:val="454820E1"/>
    <w:rsid w:val="5BF403CC"/>
    <w:rsid w:val="5E622B35"/>
    <w:rsid w:val="5E79423B"/>
    <w:rsid w:val="61FA3C53"/>
    <w:rsid w:val="67803418"/>
    <w:rsid w:val="6D492DD5"/>
    <w:rsid w:val="75BA3D05"/>
    <w:rsid w:val="7CB7CD6C"/>
    <w:rsid w:val="7D7B7776"/>
    <w:rsid w:val="7E71614B"/>
    <w:rsid w:val="7EF75C72"/>
    <w:rsid w:val="A9FF4724"/>
    <w:rsid w:val="D05FA79F"/>
    <w:rsid w:val="DBD49F33"/>
    <w:rsid w:val="E7E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243</Words>
  <Characters>1391</Characters>
  <Lines>11</Lines>
  <Paragraphs>3</Paragraphs>
  <TotalTime>35</TotalTime>
  <ScaleCrop>false</ScaleCrop>
  <LinksUpToDate>false</LinksUpToDate>
  <CharactersWithSpaces>1631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senxiaose</dc:creator>
  <cp:lastModifiedBy>尤尤</cp:lastModifiedBy>
  <dcterms:modified xsi:type="dcterms:W3CDTF">2023-11-15T15:47:44Z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D2C946AFBDA54824AAD45DC84392003E_13</vt:lpwstr>
  </property>
</Properties>
</file>