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204470</wp:posOffset>
                </wp:positionV>
                <wp:extent cx="1600200" cy="285750"/>
                <wp:effectExtent l="4445" t="4445" r="1079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项目编号：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4pt;margin-top:16.1pt;height:22.5pt;width:126pt;z-index:251659264;mso-width-relative:page;mso-height-relative:page;" fillcolor="#FFFFFF" filled="t" stroked="t" coordsize="21600,21600" o:gfxdata="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D&#10;NzA52AAAAAkBAAAPAAAAAAAAAAEAIAAAADgAAABkcnMvZG93bnJldi54bWxQSwECFAAUAAAACACH&#10;TuJA97v/70cCAACXBAAADgAAAAAAAAABACAAAAA9AQAAZHJzL2Uyb0RvYy54bWxQSwUGAAAAAAYA&#10;BgBZAQAA9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项目编号：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beforeLines="100" w:after="312" w:afterLines="100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bookmarkStart w:id="0" w:name="_Toc26120_WPSOffice_Level1"/>
      <w:r>
        <w:rPr>
          <w:rFonts w:hint="eastAsia" w:ascii="微软雅黑" w:hAnsi="微软雅黑" w:eastAsia="微软雅黑" w:cs="微软雅黑"/>
          <w:b/>
          <w:sz w:val="32"/>
          <w:szCs w:val="32"/>
        </w:rPr>
        <w:t>无锡灵山慈善基金会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困境人群医疗救助计划”项目</w:t>
      </w:r>
    </w:p>
    <w:p>
      <w:pPr>
        <w:spacing w:before="312" w:beforeLines="100" w:after="312" w:afterLines="100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2023年度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报告</w:t>
      </w:r>
      <w:bookmarkEnd w:id="0"/>
    </w:p>
    <w:p>
      <w:pPr>
        <w:spacing w:before="312" w:beforeLines="100" w:after="312" w:afterLines="100"/>
        <w:jc w:val="center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bookmarkStart w:id="1" w:name="_Toc9470_WPSOffice_Level2"/>
      <w:bookmarkStart w:id="2" w:name="_Toc22080_WPSOffice_Level2"/>
      <w:bookmarkStart w:id="3" w:name="_Toc21055_WPSOffice_Level2"/>
      <w:bookmarkStart w:id="4" w:name="_Toc7650_WPSOffice_Level2"/>
      <w:bookmarkStart w:id="5" w:name="_Toc23828_WPSOffice_Level2"/>
      <w:r>
        <w:rPr>
          <w:rFonts w:hint="eastAsia" w:ascii="微软雅黑" w:hAnsi="微软雅黑" w:eastAsia="微软雅黑" w:cs="微软雅黑"/>
          <w:b/>
          <w:sz w:val="24"/>
          <w:szCs w:val="24"/>
        </w:rPr>
        <w:t>报告周期：20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-20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.</w:t>
      </w:r>
      <w:bookmarkEnd w:id="1"/>
      <w:bookmarkEnd w:id="2"/>
      <w:bookmarkEnd w:id="3"/>
      <w:bookmarkEnd w:id="4"/>
      <w:bookmarkEnd w:id="5"/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10</w:t>
      </w:r>
    </w:p>
    <w:p>
      <w:pPr>
        <w:spacing w:line="360" w:lineRule="auto"/>
        <w:jc w:val="left"/>
        <w:rPr>
          <w:rFonts w:ascii="微软雅黑" w:hAnsi="微软雅黑" w:eastAsia="微软雅黑" w:cs="微软雅黑"/>
          <w:color w:val="FF0000"/>
          <w:sz w:val="24"/>
          <w:szCs w:val="24"/>
        </w:rPr>
      </w:pPr>
      <w:bookmarkStart w:id="6" w:name="_Toc3332_WPSOffice_Level1"/>
      <w:bookmarkStart w:id="7" w:name="_Toc13833_WPSOffice_Level1"/>
      <w:bookmarkStart w:id="8" w:name="_Toc19823_WPSOffice_Level1"/>
      <w:bookmarkStart w:id="9" w:name="_Toc10420_WPSOffice_Level1"/>
      <w:bookmarkStart w:id="10" w:name="_Toc22756_WPSOffice_Level1"/>
      <w:r>
        <w:rPr>
          <w:rFonts w:hint="eastAsia" w:ascii="微软雅黑" w:hAnsi="微软雅黑" w:eastAsia="微软雅黑" w:cs="微软雅黑"/>
          <w:b/>
          <w:sz w:val="24"/>
          <w:szCs w:val="24"/>
        </w:rPr>
        <w:t>一、基本信息</w:t>
      </w:r>
      <w:bookmarkEnd w:id="6"/>
      <w:bookmarkEnd w:id="7"/>
      <w:bookmarkEnd w:id="8"/>
      <w:bookmarkEnd w:id="9"/>
      <w:bookmarkEnd w:id="10"/>
    </w:p>
    <w:tbl>
      <w:tblPr>
        <w:tblStyle w:val="5"/>
        <w:tblW w:w="84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418"/>
        <w:gridCol w:w="173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困境人群医疗救助计划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类别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助困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4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简介</w:t>
            </w:r>
          </w:p>
        </w:tc>
        <w:tc>
          <w:tcPr>
            <w:tcW w:w="6608" w:type="dxa"/>
            <w:gridSpan w:val="3"/>
            <w:vAlign w:val="center"/>
          </w:tcPr>
          <w:p>
            <w:pPr>
              <w:spacing w:line="360" w:lineRule="auto"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项目旨在为困境人群提供基础的医疗保障：健康时通过免费健康体检，防患于未然；在疾病发生时提供一定的疾病救助资金，缓解困境群体经济压力；在面对重大疾病、意外时，提供急救金，救生命于危难。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7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执行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团队</w:t>
            </w: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Hans"/>
              </w:rPr>
              <w:t>无锡灵山慈善基金会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项目执行地点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执行周期</w:t>
            </w: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2023.1-2023.10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eastAsia="zh-CN"/>
              </w:rPr>
              <w:t>项目执行支出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 2795098.85元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0" w:hRule="atLeast"/>
        </w:trPr>
        <w:tc>
          <w:tcPr>
            <w:tcW w:w="1812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受益人群</w:t>
            </w:r>
          </w:p>
        </w:tc>
        <w:tc>
          <w:tcPr>
            <w:tcW w:w="2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为450位困境人群提供部分医疗救助金及医疗保险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间接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受益人群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bookmarkStart w:id="11" w:name="_Toc1462_WPSOffice_Level1"/>
      <w:bookmarkStart w:id="12" w:name="_Toc19231_WPSOffice_Level1"/>
      <w:bookmarkStart w:id="13" w:name="_Toc25641_WPSOffice_Level1"/>
      <w:bookmarkStart w:id="14" w:name="_Toc3131_WPSOffice_Level1"/>
      <w:bookmarkStart w:id="15" w:name="_Toc25408_WPSOffice_Level1"/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二、执行情况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3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微软雅黑" w:hAnsi="微软雅黑" w:cs="微软雅黑" w:eastAsia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执行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463" w:type="dxa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、项目执行周期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2023.01—2023.10</w:t>
            </w:r>
          </w:p>
          <w:p>
            <w:pPr>
              <w:spacing w:line="360" w:lineRule="auto"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、项目执行流程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1、2023年1月：为10位符合条件的困境群众提供医疗保险；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2、2023年2月：为1位困境群众提供医疗救助金支持；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3、2023年3月：为47位困境群众提供医疗救助金支持；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4、2023年4月：为19位困境群众提供医疗救助金支持；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5、2023年5月：为42位困境群众提供医疗救助金支持；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6、2023年6月：为45位困境群众提供医疗救助金支持；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7、2023年7月：为48位符合条件的困境群众提供补充医疗保险。为113位困境群众提供医疗救助金支持；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8、2023年8月：为52位困境群众提供医疗救助金支持；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9、2023年9月：为12位困境群众提供医疗救助金支持；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10、2023年10月：为71位困境群众提供医疗救助金支持；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11、2023年1—10月共计支出项目人员费用42322.63元，用于项目日常执行。</w:t>
            </w:r>
          </w:p>
          <w:p>
            <w:pPr>
              <w:spacing w:line="360" w:lineRule="auto"/>
              <w:jc w:val="left"/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eastAsia="仿宋"/>
                <w:b/>
                <w:bCs/>
                <w:sz w:val="24"/>
                <w:szCs w:val="24"/>
              </w:rPr>
              <w:t>、项目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本年度已完成目标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截至2023年10月，共计筹款5642316.13元，项目为450位困境人群提供部分医疗救助金及医疗保险，共计支出2795098.85元。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8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微软雅黑" w:hAnsi="微软雅黑" w:cs="微软雅黑" w:eastAsia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执行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成效</w:t>
            </w:r>
          </w:p>
        </w:tc>
        <w:tc>
          <w:tcPr>
            <w:tcW w:w="6463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项目整体</w:t>
            </w: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成效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为450位困境人群提供部分医疗救助金，共计支出2795098.85元。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二、执行团队的成长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1、项目研发及发展：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（1）从个体偶发救助到系统帮扶。对一般有医保的患者而言，虽然可以报销一部分医疗费，但个人自费的部分，也是不小的压力，更何况那些没有医保的人群，不少家庭因此出现了“因病致贫”或“因病返贫”的现象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如何在个体偶发疾病救助的基础上，最大限度地为困境师父和民众带来实实在在的医疗帮扶，令其无后顾之忧，安心治疗？经过无数个日夜的思索、考察和论证，我们推出了灵山医疗保障体系，覆盖面广、多渠道帮扶。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firstLine="480" w:firstLineChars="200"/>
              <w:jc w:val="both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/>
                <w:sz w:val="24"/>
                <w:szCs w:val="24"/>
                <w:lang w:val="en-US" w:eastAsia="zh-CN"/>
              </w:rPr>
              <w:t>从普遍性救助到特殊困境群体帮扶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。这些年，灵山慈善的一线志工在走访中发现，在大山深处或位置偏僻的农村，有些60岁以上的老人，他们本身患有基础病或慢性病，却不在医保涵盖范围内，因此，今年医疗救助项目更多聚焦于深山困境老人，为他们提供相对稳定的医疗保障。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firstLine="480" w:firstLineChars="200"/>
              <w:jc w:val="both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筹款工作：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/>
                <w:sz w:val="24"/>
                <w:szCs w:val="24"/>
                <w:lang w:val="en-US" w:eastAsia="zh-CN"/>
              </w:rPr>
              <w:t>（1）筹款产品及筹款颗粒多样化调整。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/>
                <w:sz w:val="24"/>
                <w:szCs w:val="24"/>
                <w:lang w:val="en-US" w:eastAsia="zh-CN"/>
              </w:rPr>
              <w:t>（2）与捐赠人及时有效的沟通并做好项目反馈。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8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执行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图片</w:t>
            </w:r>
          </w:p>
          <w:p>
            <w:pPr>
              <w:jc w:val="center"/>
              <w:rPr>
                <w:rFonts w:hint="default" w:ascii="微软雅黑" w:hAnsi="微软雅黑" w:cs="微软雅黑" w:eastAsia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展示</w:t>
            </w:r>
          </w:p>
        </w:tc>
        <w:tc>
          <w:tcPr>
            <w:tcW w:w="6463" w:type="dxa"/>
            <w:vAlign w:val="top"/>
          </w:tcPr>
          <w:p>
            <w:pPr>
              <w:jc w:val="both"/>
              <w:rPr>
                <w:rFonts w:hint="eastAsia" w:eastAsia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项目患者照片（部分）：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775075" cy="2832735"/>
                  <wp:effectExtent l="0" t="0" r="9525" b="12065"/>
                  <wp:docPr id="2" name="图片 2" descr="陈静霞，拨付29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陈静霞，拨付295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075" cy="283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46425" cy="3580130"/>
                  <wp:effectExtent l="0" t="0" r="3175" b="1270"/>
                  <wp:docPr id="3" name="图片 3" descr="罗瑞峰，31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罗瑞峰，315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25" cy="358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977640" cy="2983230"/>
                  <wp:effectExtent l="0" t="0" r="3810" b="7620"/>
                  <wp:docPr id="4" name="图片 4" descr="卢大琨，29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卢大琨，295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40" cy="298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980815" cy="5307965"/>
                  <wp:effectExtent l="0" t="0" r="635" b="6985"/>
                  <wp:docPr id="5" name="图片 5" descr="李晓华，29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晓华，295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815" cy="530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6" w:name="_GoBack"/>
            <w:r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957955" cy="2228215"/>
                  <wp:effectExtent l="0" t="0" r="4445" b="6985"/>
                  <wp:docPr id="6" name="图片 6" descr="李沐子29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李沐子296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955" cy="222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6"/>
            <w:r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959860" cy="2969895"/>
                  <wp:effectExtent l="0" t="0" r="2540" b="1905"/>
                  <wp:docPr id="7" name="图片 7" descr="金涵钰，37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金涵钰，375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0" cy="296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84145" cy="3579495"/>
                  <wp:effectExtent l="0" t="0" r="8255" b="1905"/>
                  <wp:docPr id="8" name="图片 8" descr="贾宇墨，29552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贾宇墨，29552.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45" cy="357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976370" cy="2972435"/>
                  <wp:effectExtent l="0" t="0" r="5080" b="18415"/>
                  <wp:docPr id="9" name="图片 9" descr="黄珍妮，29574.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黄珍妮，29574.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370" cy="297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968750" cy="2232025"/>
                  <wp:effectExtent l="0" t="0" r="12700" b="15875"/>
                  <wp:docPr id="10" name="图片 10" descr="胡书瑞，29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胡书瑞，295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</w:p>
    <w:bookmarkEnd w:id="11"/>
    <w:bookmarkEnd w:id="12"/>
    <w:bookmarkEnd w:id="13"/>
    <w:bookmarkEnd w:id="14"/>
    <w:bookmarkEnd w:id="15"/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、项目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总结与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评估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7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项目成果（实际成果）</w:t>
            </w:r>
          </w:p>
        </w:tc>
        <w:tc>
          <w:tcPr>
            <w:tcW w:w="6146" w:type="dxa"/>
          </w:tcPr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“困境人群医疗救助”计划在2023年度中筹集善款 5642316.13元，并为450位困境患者拨付了2795098.85元善 款用于患者治疗及康复。 这 450位困境患者，多由于各种客观原因，自身经济实力并不足，疾病的发生给本不富裕的 家庭带来了更为沉重的负担。病种涉及多种，部分患者治疗费用缺口巨大。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为了解决这些问题，项目组采取了多元化的筹款方式，通过各种渠道为这些患者筹集医疗费用。并且，我们及时将筹集到的善款拨付给这些需要帮助的患者，为他们提供实实在在的资金支持。这不仅仅是经济上的援助，更多的是一种关怀和温暖的传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总结与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评价</w:t>
            </w:r>
          </w:p>
        </w:tc>
        <w:tc>
          <w:tcPr>
            <w:tcW w:w="6146" w:type="dxa"/>
          </w:tcPr>
          <w:p>
            <w:pPr>
              <w:spacing w:line="360" w:lineRule="auto"/>
              <w:ind w:firstLine="482" w:firstLineChars="200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品牌推广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目前我们对项目的产品化思维还需要提高，明确项目的品牌定位，强调项目的社会价值和情感共鸣。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通过真实的故事和案例，让人们更好地了解项目的意义和效果。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利用社交媒体、网络广告、电视广告等多元化渠道进行品牌推广。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线下推广方面，可以与相关组织、社区合作，举办一些公益活动、讲座、宣传活动等，以增加品牌知名度和影响力。</w:t>
            </w:r>
          </w:p>
          <w:p>
            <w:pPr>
              <w:spacing w:line="360" w:lineRule="auto"/>
              <w:ind w:firstLine="482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多渠道招募志愿者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除了线上招募外，项目组计划通过社区、学校、企业等渠道进行志愿者招募。并且为志愿者提供一定的激励和回报，例如志愿者证书、感谢信、优惠券等，以增加志愿者的积极性和参与度。</w:t>
            </w:r>
          </w:p>
          <w:p>
            <w:pPr>
              <w:spacing w:line="360" w:lineRule="auto"/>
              <w:ind w:firstLine="482" w:firstLineChars="200"/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社会公益发展倡导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新的一年，计划与更多的爱心企业、公益组织合作，共同推广社会公益事业，并倡导更多的个人和企业参与其中。通过各种渠道向公众传递公益理念和价值观，以增强公众对公益事业的认同和支持。</w:t>
            </w:r>
          </w:p>
          <w:p>
            <w:pPr>
              <w:spacing w:line="360" w:lineRule="auto"/>
              <w:ind w:firstLine="482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创新筹款方式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除了传统的捐款方式外，项目组计划尝试一些创新的筹款方式，如义卖、公益拍卖等。这些方式可以吸引更多人的关注和参与，并增加项目的曝光度和筹款金额。</w:t>
            </w:r>
          </w:p>
          <w:p>
            <w:pPr>
              <w:spacing w:line="360" w:lineRule="auto"/>
              <w:ind w:firstLine="440" w:firstLineChars="200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318260" cy="4470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454" cy="471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C2F0"/>
    <w:multiLevelType w:val="singleLevel"/>
    <w:tmpl w:val="C103C2F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C257EC8"/>
    <w:multiLevelType w:val="singleLevel"/>
    <w:tmpl w:val="1C257E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092AAC"/>
    <w:multiLevelType w:val="singleLevel"/>
    <w:tmpl w:val="67092AA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ZTA1ZmUzMzM0YTBlNTc4ODE0N2NhYWMzMzg0ZjMifQ=="/>
  </w:docVars>
  <w:rsids>
    <w:rsidRoot w:val="00EF5A48"/>
    <w:rsid w:val="005C6B4F"/>
    <w:rsid w:val="00717007"/>
    <w:rsid w:val="00EF5A48"/>
    <w:rsid w:val="00F753BF"/>
    <w:rsid w:val="06806F2F"/>
    <w:rsid w:val="0A526265"/>
    <w:rsid w:val="1E2E346B"/>
    <w:rsid w:val="20A70AA6"/>
    <w:rsid w:val="224E617E"/>
    <w:rsid w:val="280E4925"/>
    <w:rsid w:val="33D27826"/>
    <w:rsid w:val="35DA5444"/>
    <w:rsid w:val="3BDFA867"/>
    <w:rsid w:val="454820E1"/>
    <w:rsid w:val="5BF403CC"/>
    <w:rsid w:val="5E622B35"/>
    <w:rsid w:val="5E79423B"/>
    <w:rsid w:val="61FA3C53"/>
    <w:rsid w:val="67803418"/>
    <w:rsid w:val="6D492DD5"/>
    <w:rsid w:val="75BA3D05"/>
    <w:rsid w:val="7CB7CD6C"/>
    <w:rsid w:val="7D7B7776"/>
    <w:rsid w:val="7E71614B"/>
    <w:rsid w:val="7EF75C72"/>
    <w:rsid w:val="A9FF4724"/>
    <w:rsid w:val="D05FA79F"/>
    <w:rsid w:val="DBD49F33"/>
    <w:rsid w:val="E7E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1391</Characters>
  <Lines>11</Lines>
  <Paragraphs>3</Paragraphs>
  <TotalTime>35</TotalTime>
  <ScaleCrop>false</ScaleCrop>
  <LinksUpToDate>false</LinksUpToDate>
  <CharactersWithSpaces>1631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senxiaose</dc:creator>
  <cp:lastModifiedBy>尤尤</cp:lastModifiedBy>
  <dcterms:modified xsi:type="dcterms:W3CDTF">2023-11-15T15:47:44Z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D2C946AFBDA54824AAD45DC84392003E_13</vt:lpwstr>
  </property>
</Properties>
</file>