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宋体"/>
          <w:sz w:val="36"/>
          <w:szCs w:val="36"/>
        </w:rPr>
      </w:pPr>
      <w:r>
        <w:rPr>
          <w:rFonts w:hint="eastAsia" w:ascii="黑体" w:hAnsi="黑体" w:eastAsia="黑体" w:cs="宋体"/>
          <w:sz w:val="36"/>
          <w:szCs w:val="36"/>
        </w:rPr>
        <w:t>灵山慈善基金会活动管理制度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beforeAutospacing="0" w:after="312" w:afterLines="100" w:afterAutospacing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</w:rPr>
        <w:t>第一章 总 则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第一条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为全面遵循无锡灵山慈善基金会(以下简称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</w:rPr>
        <w:t>基金会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 xml:space="preserve">)的战略愿景、使命和目标，确保基金会各活动运行的合法、合规、合理，实现活动举办的预期目标，规范活动管理，维护基金会、捐赠方和受益方的合法权益，根据《基金会管理条例》、《灵山慈善基金会章程》及国家相关法律法规，特制定本制度。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第二条</w:t>
      </w:r>
      <w:r>
        <w:rPr>
          <w:rFonts w:hint="eastAsia" w:ascii="仿宋" w:hAnsi="仿宋" w:eastAsia="仿宋" w:cs="仿宋"/>
          <w:sz w:val="32"/>
          <w:szCs w:val="32"/>
        </w:rPr>
        <w:t xml:space="preserve"> 本制度适用于基金会自主开展的各项活动和对外合作相关活动。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/>
          <w:bCs/>
          <w:sz w:val="32"/>
          <w:szCs w:val="32"/>
        </w:rPr>
        <w:t>第三条</w:t>
      </w:r>
      <w:r>
        <w:rPr>
          <w:rFonts w:hint="eastAsia" w:ascii="仿宋" w:hAnsi="仿宋" w:eastAsia="仿宋" w:cs="仿宋"/>
          <w:sz w:val="32"/>
          <w:szCs w:val="32"/>
        </w:rPr>
        <w:t xml:space="preserve"> 本制度包括对活动立项、活动开展、活动经费、活动采购、活动结项等方面的规定。 </w:t>
      </w:r>
    </w:p>
    <w:p>
      <w:pPr>
        <w:pStyle w:val="2"/>
        <w:spacing w:before="312" w:beforeLines="100" w:beforeAutospacing="0" w:after="312" w:afterLines="100" w:afterAutospacing="0"/>
        <w:jc w:val="center"/>
        <w:rPr>
          <w:rFonts w:hint="eastAsia" w:ascii="黑体" w:hAnsi="黑体" w:eastAsia="黑体" w:cs="黑体"/>
          <w:b w:val="0"/>
          <w:bCs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</w:rPr>
        <w:t>第二章 活动相关</w:t>
      </w:r>
    </w:p>
    <w:p>
      <w:pPr>
        <w:pStyle w:val="2"/>
        <w:spacing w:before="0" w:beforeAutospacing="0" w:after="0" w:afterAutospacing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第四条</w:t>
      </w:r>
      <w:r>
        <w:rPr>
          <w:rFonts w:hint="eastAsia" w:ascii="仿宋" w:hAnsi="仿宋" w:eastAsia="仿宋" w:cs="仿宋"/>
          <w:sz w:val="32"/>
          <w:szCs w:val="32"/>
        </w:rPr>
        <w:t xml:space="preserve"> 活动的立项与开展工作须符合基金会宗旨和章程的有关规定，综合考虑项目的公益性、可行性、实效性及持续性。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/>
          <w:bCs/>
          <w:sz w:val="32"/>
          <w:szCs w:val="32"/>
        </w:rPr>
        <w:t>第五条</w:t>
      </w:r>
      <w:r>
        <w:rPr>
          <w:rFonts w:hint="eastAsia" w:ascii="仿宋" w:hAnsi="仿宋" w:eastAsia="仿宋" w:cs="仿宋"/>
          <w:sz w:val="32"/>
          <w:szCs w:val="32"/>
        </w:rPr>
        <w:t xml:space="preserve"> 活动开展须遵循如下流程:</w:t>
      </w:r>
    </w:p>
    <w:p>
      <w:pPr>
        <w:pStyle w:val="2"/>
        <w:numPr>
          <w:ilvl w:val="0"/>
          <w:numId w:val="1"/>
        </w:numPr>
        <w:spacing w:before="0" w:beforeAutospacing="0" w:after="0" w:afterAutospacing="0"/>
        <w:ind w:left="0" w:leftChars="0"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立项审批：活动负责部门综合前期调研结果及对于活动的评估报告，形成《活动立项申请表》(附《活动方案策划书》)，由活动负责人提请秘书长审核，通过后方可立项。 </w:t>
      </w:r>
    </w:p>
    <w:p>
      <w:pPr>
        <w:pStyle w:val="2"/>
        <w:spacing w:before="0" w:beforeAutospacing="0" w:after="0" w:afterAutospacing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重大活动，需上报，等待上级对此次活动进行批示，决定是否立项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pStyle w:val="2"/>
        <w:numPr>
          <w:ilvl w:val="0"/>
          <w:numId w:val="1"/>
        </w:numPr>
        <w:spacing w:before="0" w:beforeAutospacing="0" w:after="0" w:afterAutospacing="0"/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预支借款：活动通过审批后，提交请款流程，通过财务拨款。</w:t>
      </w:r>
    </w:p>
    <w:p>
      <w:pPr>
        <w:pStyle w:val="2"/>
        <w:numPr>
          <w:ilvl w:val="0"/>
          <w:numId w:val="1"/>
        </w:numPr>
        <w:spacing w:before="0" w:beforeAutospacing="0" w:after="0" w:afterAutospacing="0"/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活动开展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活动负责人安排各组人员推进各方面工作开展，按照《活动管理制度》执行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pStyle w:val="2"/>
        <w:numPr>
          <w:ilvl w:val="0"/>
          <w:numId w:val="1"/>
        </w:numPr>
        <w:spacing w:before="0" w:beforeAutospacing="0" w:after="0" w:afterAutospacing="0"/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结项决算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活动开展后，活动负责人拟《活动结项报告》、《活动决算表》，由秘书长签字后存档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before="312" w:beforeLines="100" w:after="312" w:afterLines="100"/>
        <w:jc w:val="center"/>
        <w:rPr>
          <w:rFonts w:hint="eastAsia" w:ascii="黑体" w:hAnsi="黑体" w:eastAsia="黑体" w:cs="黑体"/>
          <w:b w:val="0"/>
          <w:bCs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</w:rPr>
        <w:t>第三章 财务管理</w:t>
      </w:r>
    </w:p>
    <w:p>
      <w:pPr>
        <w:pStyle w:val="2"/>
        <w:spacing w:before="0" w:beforeAutospacing="0" w:after="0" w:afterAutospacing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第六条</w:t>
      </w:r>
      <w:r>
        <w:rPr>
          <w:rFonts w:hint="eastAsia" w:ascii="仿宋" w:hAnsi="仿宋" w:eastAsia="仿宋" w:cs="仿宋"/>
          <w:sz w:val="32"/>
          <w:szCs w:val="32"/>
        </w:rPr>
        <w:t xml:space="preserve"> 基金会对活动资金实行预算制管理。由活动负责人根据批准的活动立项申请表、活动方案策划书编制活动执行预算表，经秘书长批准后执行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pStyle w:val="2"/>
        <w:spacing w:before="0" w:beforeAutospacing="0" w:after="0" w:afterAutospacing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第七条</w:t>
      </w:r>
      <w:r>
        <w:rPr>
          <w:rFonts w:hint="eastAsia" w:ascii="仿宋" w:hAnsi="仿宋" w:eastAsia="仿宋" w:cs="仿宋"/>
          <w:sz w:val="32"/>
          <w:szCs w:val="32"/>
        </w:rPr>
        <w:t xml:space="preserve"> 各活动应遵照《基金会财务管理制度》，强化活动的财务管理，坚持节约、高效的原则，严格控制预算资金的支出，对于无凭证、无手续的活动支出，不予支付。 </w:t>
      </w:r>
    </w:p>
    <w:p>
      <w:pPr>
        <w:pStyle w:val="2"/>
        <w:spacing w:before="0" w:beforeAutospacing="0" w:after="0" w:afterAutospacing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第八条</w:t>
      </w:r>
      <w:r>
        <w:rPr>
          <w:rFonts w:hint="eastAsia" w:ascii="仿宋" w:hAnsi="仿宋" w:eastAsia="仿宋" w:cs="仿宋"/>
          <w:sz w:val="32"/>
          <w:szCs w:val="32"/>
        </w:rPr>
        <w:t xml:space="preserve"> 活动拨款流程</w:t>
      </w:r>
    </w:p>
    <w:p>
      <w:pPr>
        <w:pStyle w:val="2"/>
        <w:numPr>
          <w:ilvl w:val="0"/>
          <w:numId w:val="2"/>
        </w:numPr>
        <w:spacing w:before="0" w:beforeAutospacing="0" w:after="0" w:afterAutospacing="0"/>
        <w:ind w:left="0" w:leftChars="0"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活动拨款申请:相关人员在 EAS 财务系统上提交活动付款审批要求，并准备付款通知单(附相关票据、合作协议 等)经部门负责人签字后提交给财务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pStyle w:val="2"/>
        <w:numPr>
          <w:ilvl w:val="0"/>
          <w:numId w:val="2"/>
        </w:numPr>
        <w:spacing w:before="0" w:beforeAutospacing="0" w:after="0" w:afterAutospacing="0"/>
        <w:ind w:left="0" w:leftChars="0"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财务原单审核:财务根据相关规定，对原单进行审核。 </w:t>
      </w:r>
    </w:p>
    <w:p>
      <w:pPr>
        <w:pStyle w:val="2"/>
        <w:numPr>
          <w:ilvl w:val="0"/>
          <w:numId w:val="2"/>
        </w:numPr>
        <w:spacing w:before="0" w:beforeAutospacing="0" w:after="0" w:afterAutospacing="0"/>
        <w:ind w:left="0" w:leftChars="0"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活动费用审批: 1、预算内活动费用，经秘书长审批; 2、预算外活动费用:金额≤预算总额 10% ，由秘书长审批; 金额≥预算总额 10%，由秘书长提请上级审批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pStyle w:val="2"/>
        <w:numPr>
          <w:ilvl w:val="0"/>
          <w:numId w:val="2"/>
        </w:numPr>
        <w:spacing w:before="0" w:beforeAutospacing="0" w:after="0" w:afterAutospacing="0"/>
        <w:ind w:left="0" w:leftChars="0"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拨款:审核通过后，出纳须在 48 小时内完成款项拨付。</w:t>
      </w:r>
    </w:p>
    <w:p>
      <w:pPr>
        <w:pStyle w:val="2"/>
        <w:spacing w:before="0" w:beforeAutospacing="0" w:after="0" w:afterAutospacing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第九条</w:t>
      </w:r>
      <w:r>
        <w:rPr>
          <w:rFonts w:hint="eastAsia" w:ascii="仿宋" w:hAnsi="仿宋" w:eastAsia="仿宋" w:cs="仿宋"/>
          <w:sz w:val="32"/>
          <w:szCs w:val="32"/>
        </w:rPr>
        <w:t xml:space="preserve"> 活动借款:为保障活动有序、顺利开展，在前期费用投入超伍仟元项目，可视活动具体情况，由活动负责人提出借款申请，遵照活动拨款流程执行。</w:t>
      </w:r>
    </w:p>
    <w:p>
      <w:pPr>
        <w:pStyle w:val="2"/>
        <w:spacing w:before="0" w:beforeAutospacing="0" w:after="0" w:afterAutospacing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第十条</w:t>
      </w:r>
      <w:r>
        <w:rPr>
          <w:rFonts w:hint="eastAsia" w:ascii="仿宋" w:hAnsi="仿宋" w:eastAsia="仿宋" w:cs="仿宋"/>
          <w:sz w:val="32"/>
          <w:szCs w:val="32"/>
        </w:rPr>
        <w:t xml:space="preserve"> 活动还款:活动费用支付行为结束后，活动借款责任人须在 10 个工作日内整理项目费用支付明细，进行还款，具体流程如下:</w:t>
      </w:r>
    </w:p>
    <w:p>
      <w:pPr>
        <w:pStyle w:val="2"/>
        <w:numPr>
          <w:ilvl w:val="0"/>
          <w:numId w:val="3"/>
        </w:numPr>
        <w:spacing w:before="0" w:beforeAutospacing="0" w:after="0" w:afterAutospacing="0"/>
        <w:ind w:left="0" w:leftChars="0"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借款责任人在 EAS 财务系统提交还款请求;填写《还款单》并提请部门负责人审核、签字;将还款单及有关票据提交财务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pStyle w:val="2"/>
        <w:numPr>
          <w:ilvl w:val="0"/>
          <w:numId w:val="3"/>
        </w:numPr>
        <w:spacing w:before="0" w:beforeAutospacing="0" w:after="0" w:afterAutospacing="0"/>
        <w:ind w:left="0" w:leftChars="0"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财务根据相关规定，对原单进行审核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pStyle w:val="2"/>
        <w:numPr>
          <w:ilvl w:val="0"/>
          <w:numId w:val="3"/>
        </w:numPr>
        <w:spacing w:before="0" w:beforeAutospacing="0" w:after="0" w:afterAutospacing="0"/>
        <w:ind w:left="0" w:leftChars="0"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还款费用审批: 1、实际花费低于借款总额，经秘书长审批; 2、实际花费超过借款总额:金额≤10000 元，由秘书长审批; 金额≥10000 元，由秘书长提请上级审批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pStyle w:val="2"/>
        <w:numPr>
          <w:ilvl w:val="0"/>
          <w:numId w:val="3"/>
        </w:numPr>
        <w:spacing w:before="0" w:beforeAutospacing="0" w:after="0" w:afterAutospacing="0"/>
        <w:ind w:left="0" w:leftChars="0"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财务归帐:实际花费低于借款总额，借款责任人须在审批结束后 3 个工作日内归还余款至财务入账;实际花费高于借款总额，财务在审批结束后将审批结果提交给出纳，由出纳拨付超出部分费用至借款责任人。</w:t>
      </w:r>
    </w:p>
    <w:p>
      <w:pPr>
        <w:pStyle w:val="2"/>
        <w:spacing w:before="0" w:beforeAutospacing="0" w:after="0" w:afterAutospacing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第十一条</w:t>
      </w:r>
      <w:r>
        <w:rPr>
          <w:rFonts w:hint="eastAsia" w:ascii="仿宋" w:hAnsi="仿宋" w:eastAsia="仿宋" w:cs="仿宋"/>
          <w:sz w:val="32"/>
          <w:szCs w:val="32"/>
        </w:rPr>
        <w:t xml:space="preserve"> 相关部门应定期对活动的执行情况与资金使用情况进行检查、监督和审计，并向秘书处汇报项目阶段性或活动完结财务报告。</w:t>
      </w:r>
    </w:p>
    <w:p>
      <w:pPr>
        <w:pStyle w:val="2"/>
        <w:spacing w:before="0" w:beforeAutospacing="0" w:after="0" w:afterAutospacing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第十二条</w:t>
      </w:r>
      <w:r>
        <w:rPr>
          <w:rFonts w:hint="eastAsia" w:ascii="仿宋" w:hAnsi="仿宋" w:eastAsia="仿宋" w:cs="仿宋"/>
          <w:sz w:val="32"/>
          <w:szCs w:val="32"/>
        </w:rPr>
        <w:t xml:space="preserve"> 秘书处有权监督和检查活动资金的使用情况，任何有关人员都不得挪用或通过其他非法手段侵占、不当使用活动资金。一经查出，则根据基金会人事管理制度严肃处理。</w:t>
      </w:r>
    </w:p>
    <w:p>
      <w:pPr>
        <w:pStyle w:val="2"/>
        <w:spacing w:before="312" w:beforeLines="100" w:beforeAutospacing="0" w:after="312" w:afterLines="100" w:afterAutospacing="0"/>
        <w:jc w:val="center"/>
        <w:rPr>
          <w:rFonts w:hint="eastAsia" w:ascii="黑体" w:hAnsi="黑体" w:eastAsia="黑体" w:cs="黑体"/>
          <w:b w:val="0"/>
          <w:bCs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</w:rPr>
        <w:t>第四章 材料归档</w:t>
      </w:r>
    </w:p>
    <w:p>
      <w:pPr>
        <w:pStyle w:val="2"/>
        <w:spacing w:before="0" w:beforeAutospacing="0" w:after="0" w:afterAutospacing="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第十三条 文件归档</w:t>
      </w:r>
    </w:p>
    <w:p>
      <w:pPr>
        <w:pStyle w:val="2"/>
        <w:numPr>
          <w:ilvl w:val="0"/>
          <w:numId w:val="4"/>
        </w:numPr>
        <w:spacing w:before="0" w:beforeAutospacing="0" w:after="0" w:afterAutospacing="0"/>
        <w:ind w:left="0" w:leftChars="0"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所有活动过程中产生的正式文件以及有必要保存的非正式文件，都应该妥善保存和归档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pStyle w:val="2"/>
        <w:numPr>
          <w:ilvl w:val="0"/>
          <w:numId w:val="4"/>
        </w:numPr>
        <w:spacing w:before="0" w:beforeAutospacing="0" w:after="0" w:afterAutospacing="0"/>
        <w:ind w:left="0" w:leftChars="0"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需要归档的文件包括活动文件、财务文件、会议记录、 传播文件、活动影响资料等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pStyle w:val="2"/>
        <w:numPr>
          <w:ilvl w:val="0"/>
          <w:numId w:val="4"/>
        </w:numPr>
        <w:spacing w:before="0" w:beforeAutospacing="0" w:after="0" w:afterAutospacing="0"/>
        <w:ind w:left="0" w:leftChars="0"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所有活动文件由负责部门统一整理、备案，建立《活动文件归档表》，并在基金会档案管理系统中备份。 </w:t>
      </w:r>
      <w:bookmarkStart w:id="0" w:name="_GoBack"/>
      <w:bookmarkEnd w:id="0"/>
    </w:p>
    <w:p>
      <w:pPr>
        <w:pStyle w:val="2"/>
        <w:spacing w:before="312" w:beforeLines="100" w:beforeAutospacing="0" w:after="312" w:afterLines="100" w:afterAutospacing="0"/>
        <w:jc w:val="center"/>
        <w:rPr>
          <w:rFonts w:hint="eastAsia" w:ascii="黑体" w:hAnsi="黑体" w:eastAsia="黑体" w:cs="黑体"/>
          <w:b w:val="0"/>
          <w:bCs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</w:rPr>
        <w:t>第五章 附 则</w:t>
      </w:r>
    </w:p>
    <w:p>
      <w:pPr>
        <w:pStyle w:val="2"/>
        <w:spacing w:before="0" w:beforeAutospacing="0" w:after="0" w:afterAutospacing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第十四条</w:t>
      </w:r>
      <w:r>
        <w:rPr>
          <w:rFonts w:hint="eastAsia" w:ascii="仿宋" w:hAnsi="仿宋" w:eastAsia="仿宋" w:cs="仿宋"/>
          <w:sz w:val="32"/>
          <w:szCs w:val="32"/>
        </w:rPr>
        <w:t xml:space="preserve"> 根据实际需要，基金会可参照本制度，制定具体活动的管理方法或实施细则;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/>
          <w:bCs/>
          <w:sz w:val="32"/>
          <w:szCs w:val="32"/>
        </w:rPr>
        <w:t>第十五条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本制度解释权属基金会秘书处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z w:val="32"/>
          <w:szCs w:val="32"/>
        </w:rPr>
        <w:t>经基金会理事会审议通过，自公布之日起实施执行</w:t>
      </w:r>
      <w:r>
        <w:rPr>
          <w:rFonts w:hint="eastAsia" w:ascii="仿宋" w:hAnsi="仿宋" w:eastAsia="仿宋" w:cs="仿宋"/>
          <w:sz w:val="32"/>
          <w:szCs w:val="32"/>
        </w:rPr>
        <w:t xml:space="preserve">。 </w:t>
      </w:r>
    </w:p>
    <w:p>
      <w:pPr>
        <w:rPr>
          <w:rFonts w:hint="eastAsia" w:ascii="华文宋体" w:hAnsi="华文宋体" w:eastAsia="华文宋体"/>
          <w:sz w:val="28"/>
          <w:szCs w:val="28"/>
        </w:rPr>
      </w:pP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</w:t>
      </w:r>
      <w:r>
        <w:rPr>
          <w:rFonts w:hint="default" w:ascii="仿宋" w:hAnsi="仿宋" w:eastAsia="仿宋" w:cs="仿宋"/>
          <w:b/>
          <w:bCs/>
          <w:sz w:val="32"/>
          <w:szCs w:val="32"/>
        </w:rPr>
        <w:t>一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：活动立项申请表</w:t>
      </w:r>
    </w:p>
    <w:tbl>
      <w:tblPr>
        <w:tblStyle w:val="3"/>
        <w:tblW w:w="86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1"/>
        <w:gridCol w:w="2175"/>
        <w:gridCol w:w="1830"/>
        <w:gridCol w:w="21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80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36"/>
                <w:szCs w:val="36"/>
              </w:rPr>
              <w:t xml:space="preserve">活动立项申请表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8680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57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活动名称：</w:t>
            </w:r>
          </w:p>
        </w:tc>
        <w:tc>
          <w:tcPr>
            <w:tcW w:w="6109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8" w:hRule="atLeast"/>
        </w:trPr>
        <w:tc>
          <w:tcPr>
            <w:tcW w:w="257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活动背景介绍（发起原因）：</w:t>
            </w:r>
          </w:p>
        </w:tc>
        <w:tc>
          <w:tcPr>
            <w:tcW w:w="61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7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期望达成目标：</w:t>
            </w:r>
          </w:p>
        </w:tc>
        <w:tc>
          <w:tcPr>
            <w:tcW w:w="61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57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活动负责人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所属部门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2571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所需资源条件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人员（人数、所需涉及部门）</w:t>
            </w:r>
          </w:p>
        </w:tc>
        <w:tc>
          <w:tcPr>
            <w:tcW w:w="39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2571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所需物资支持</w:t>
            </w:r>
          </w:p>
        </w:tc>
        <w:tc>
          <w:tcPr>
            <w:tcW w:w="39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571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预估活动成本</w:t>
            </w:r>
          </w:p>
        </w:tc>
        <w:tc>
          <w:tcPr>
            <w:tcW w:w="39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571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具体时间</w:t>
            </w:r>
          </w:p>
        </w:tc>
        <w:tc>
          <w:tcPr>
            <w:tcW w:w="39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2571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其他</w:t>
            </w:r>
          </w:p>
        </w:tc>
        <w:tc>
          <w:tcPr>
            <w:tcW w:w="39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25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活动负责人签字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秘书长签字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　</w:t>
            </w:r>
          </w:p>
        </w:tc>
      </w:tr>
    </w:tbl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default" w:ascii="仿宋" w:hAnsi="仿宋" w:eastAsia="仿宋" w:cs="仿宋"/>
          <w:b/>
          <w:bCs/>
          <w:sz w:val="32"/>
          <w:szCs w:val="32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二、活动方案策划书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1、活动主题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2、活动目的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3、活动概况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时间：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地点：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参与人员：拟邀领导、媒体、合作伙伴等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4、活动工作领导机构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总指挥、执行总指挥、领导小组人员……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5、工作职责与分工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由xx部门主导，协调xx部门人员x人，安排活动整体事宜。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请按具体组别（筹备组、接待组、文宣组、后勤组……）分工并拟清组长组员以及主要职责。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6、活动流程</w:t>
      </w:r>
    </w:p>
    <w:tbl>
      <w:tblPr>
        <w:tblStyle w:val="4"/>
        <w:tblW w:w="8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8"/>
        <w:gridCol w:w="1213"/>
        <w:gridCol w:w="2103"/>
        <w:gridCol w:w="1857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环节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时间</w:t>
            </w: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方式</w:t>
            </w: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环节负责人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具体任务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165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13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03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主持/宣讲/签名/互动等</w:t>
            </w:r>
          </w:p>
        </w:tc>
        <w:tc>
          <w:tcPr>
            <w:tcW w:w="1857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4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7、活动倒推表</w:t>
      </w:r>
    </w:p>
    <w:tbl>
      <w:tblPr>
        <w:tblStyle w:val="4"/>
        <w:tblW w:w="8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8"/>
        <w:gridCol w:w="1658"/>
        <w:gridCol w:w="1658"/>
        <w:gridCol w:w="1857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序号</w:t>
            </w: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主要任务</w:t>
            </w: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负责人（组）</w:t>
            </w: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完成时间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5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5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57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4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8、采购清单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880"/>
        <w:gridCol w:w="1176"/>
        <w:gridCol w:w="880"/>
        <w:gridCol w:w="1176"/>
        <w:gridCol w:w="880"/>
        <w:gridCol w:w="881"/>
        <w:gridCol w:w="881"/>
        <w:gridCol w:w="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物资名称</w:t>
            </w:r>
          </w:p>
        </w:tc>
        <w:tc>
          <w:tcPr>
            <w:tcW w:w="921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采购厂家名称及联系电话</w:t>
            </w:r>
          </w:p>
        </w:tc>
        <w:tc>
          <w:tcPr>
            <w:tcW w:w="921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单价（元）</w:t>
            </w:r>
          </w:p>
        </w:tc>
        <w:tc>
          <w:tcPr>
            <w:tcW w:w="921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数量</w:t>
            </w:r>
          </w:p>
        </w:tc>
        <w:tc>
          <w:tcPr>
            <w:tcW w:w="921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货品总额（元）</w:t>
            </w:r>
          </w:p>
        </w:tc>
        <w:tc>
          <w:tcPr>
            <w:tcW w:w="921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经办人及联系方式</w:t>
            </w:r>
          </w:p>
        </w:tc>
        <w:tc>
          <w:tcPr>
            <w:tcW w:w="921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打款状态</w:t>
            </w:r>
          </w:p>
        </w:tc>
        <w:tc>
          <w:tcPr>
            <w:tcW w:w="921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票据</w:t>
            </w:r>
          </w:p>
        </w:tc>
        <w:tc>
          <w:tcPr>
            <w:tcW w:w="922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签收情况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21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21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21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21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21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21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21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22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numPr>
          <w:ilvl w:val="0"/>
          <w:numId w:val="5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活动负责人及秘书长签字</w:t>
      </w:r>
    </w:p>
    <w:p>
      <w:pPr>
        <w:numPr>
          <w:numId w:val="0"/>
        </w:numPr>
        <w:rPr>
          <w:rFonts w:hint="eastAsia" w:ascii="仿宋" w:hAnsi="仿宋" w:eastAsia="仿宋" w:cs="仿宋"/>
          <w:sz w:val="32"/>
          <w:szCs w:val="32"/>
        </w:rPr>
      </w:pPr>
    </w:p>
    <w:p>
      <w:pPr>
        <w:numPr>
          <w:numId w:val="0"/>
        </w:num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default" w:ascii="仿宋" w:hAnsi="仿宋" w:eastAsia="仿宋" w:cs="仿宋"/>
          <w:b/>
          <w:bCs/>
          <w:sz w:val="32"/>
          <w:szCs w:val="32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三、活动执行预算表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917"/>
        <w:gridCol w:w="385"/>
        <w:gridCol w:w="1984"/>
        <w:gridCol w:w="1951"/>
        <w:gridCol w:w="1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序号</w:t>
            </w:r>
          </w:p>
        </w:tc>
        <w:tc>
          <w:tcPr>
            <w:tcW w:w="230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类别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具体内容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数量</w:t>
            </w:r>
          </w:p>
        </w:tc>
        <w:tc>
          <w:tcPr>
            <w:tcW w:w="19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金额（元）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02" w:type="dxa"/>
            <w:gridSpan w:val="2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场地预定/食宿接待/现场布置/人员费用/物料费用</w:t>
            </w:r>
          </w:p>
        </w:tc>
        <w:tc>
          <w:tcPr>
            <w:tcW w:w="1984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51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07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763" w:type="dxa"/>
            <w:gridSpan w:val="2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活动负责人签字：</w:t>
            </w:r>
          </w:p>
        </w:tc>
        <w:tc>
          <w:tcPr>
            <w:tcW w:w="5527" w:type="dxa"/>
            <w:gridSpan w:val="4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2763" w:type="dxa"/>
            <w:gridSpan w:val="2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秘书长签字：</w:t>
            </w:r>
          </w:p>
        </w:tc>
        <w:tc>
          <w:tcPr>
            <w:tcW w:w="5527" w:type="dxa"/>
            <w:gridSpan w:val="4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rPr>
          <w:rFonts w:hint="default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default" w:ascii="仿宋" w:hAnsi="仿宋" w:eastAsia="仿宋" w:cs="仿宋"/>
          <w:b/>
          <w:bCs/>
          <w:sz w:val="32"/>
          <w:szCs w:val="32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四、活动结项报告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1、活动回顾（新闻稿）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2、媒体传播影像资料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3、活动总结（突破与不足）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4、活动决算表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5、活动归档各类材料整理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default" w:ascii="仿宋" w:hAnsi="仿宋" w:eastAsia="仿宋" w:cs="仿宋"/>
          <w:b/>
          <w:bCs/>
          <w:sz w:val="32"/>
          <w:szCs w:val="32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五、活动决算表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1101"/>
        <w:gridCol w:w="921"/>
        <w:gridCol w:w="921"/>
        <w:gridCol w:w="921"/>
        <w:gridCol w:w="921"/>
        <w:gridCol w:w="921"/>
        <w:gridCol w:w="921"/>
        <w:gridCol w:w="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序号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费用类型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费用说明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明细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单价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数量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总价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备注</w:t>
            </w: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</w:trPr>
        <w:tc>
          <w:tcPr>
            <w:tcW w:w="741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01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物料费/餐饮费/交通费/住宿费/人员飞/制作费</w:t>
            </w:r>
          </w:p>
        </w:tc>
        <w:tc>
          <w:tcPr>
            <w:tcW w:w="921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21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21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21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21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21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22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8290" w:type="dxa"/>
            <w:gridSpan w:val="9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活动负责人签字：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8290" w:type="dxa"/>
            <w:gridSpan w:val="9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秘书长签字：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6230E6"/>
    <w:multiLevelType w:val="singleLevel"/>
    <w:tmpl w:val="DC6230E6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FD3E9E31"/>
    <w:multiLevelType w:val="singleLevel"/>
    <w:tmpl w:val="FD3E9E31"/>
    <w:lvl w:ilvl="0" w:tentative="0">
      <w:start w:val="9"/>
      <w:numFmt w:val="decimal"/>
      <w:suff w:val="nothing"/>
      <w:lvlText w:val="%1、"/>
      <w:lvlJc w:val="left"/>
    </w:lvl>
  </w:abstractNum>
  <w:abstractNum w:abstractNumId="2">
    <w:nsid w:val="FF7ACB88"/>
    <w:multiLevelType w:val="singleLevel"/>
    <w:tmpl w:val="FF7ACB88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3">
    <w:nsid w:val="0A540441"/>
    <w:multiLevelType w:val="singleLevel"/>
    <w:tmpl w:val="0A540441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4">
    <w:nsid w:val="25023931"/>
    <w:multiLevelType w:val="singleLevel"/>
    <w:tmpl w:val="25023931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759"/>
    <w:rsid w:val="00011188"/>
    <w:rsid w:val="000113EC"/>
    <w:rsid w:val="000233CD"/>
    <w:rsid w:val="00043C39"/>
    <w:rsid w:val="000A7B3F"/>
    <w:rsid w:val="000C3899"/>
    <w:rsid w:val="00100759"/>
    <w:rsid w:val="001335E4"/>
    <w:rsid w:val="00181B70"/>
    <w:rsid w:val="00182662"/>
    <w:rsid w:val="001E0212"/>
    <w:rsid w:val="0020309C"/>
    <w:rsid w:val="002156B6"/>
    <w:rsid w:val="00245E7D"/>
    <w:rsid w:val="00312E8E"/>
    <w:rsid w:val="003131E0"/>
    <w:rsid w:val="00374041"/>
    <w:rsid w:val="004018C6"/>
    <w:rsid w:val="00465F57"/>
    <w:rsid w:val="004E2C82"/>
    <w:rsid w:val="004F1FA3"/>
    <w:rsid w:val="005A1938"/>
    <w:rsid w:val="005F2B20"/>
    <w:rsid w:val="00643229"/>
    <w:rsid w:val="006B5774"/>
    <w:rsid w:val="00750D5C"/>
    <w:rsid w:val="00770A69"/>
    <w:rsid w:val="007860E3"/>
    <w:rsid w:val="00795558"/>
    <w:rsid w:val="007A00AF"/>
    <w:rsid w:val="00821285"/>
    <w:rsid w:val="00836F55"/>
    <w:rsid w:val="00941619"/>
    <w:rsid w:val="00962DD0"/>
    <w:rsid w:val="00A346E4"/>
    <w:rsid w:val="00A734A2"/>
    <w:rsid w:val="00A93621"/>
    <w:rsid w:val="00C50BFE"/>
    <w:rsid w:val="00C773A8"/>
    <w:rsid w:val="00C86542"/>
    <w:rsid w:val="00D843E0"/>
    <w:rsid w:val="00DB7C4A"/>
    <w:rsid w:val="00DF08CA"/>
    <w:rsid w:val="00E84D3F"/>
    <w:rsid w:val="00ED4559"/>
    <w:rsid w:val="00F55924"/>
    <w:rsid w:val="00F8718F"/>
    <w:rsid w:val="00F945BC"/>
    <w:rsid w:val="00FB2BAD"/>
    <w:rsid w:val="1590606B"/>
    <w:rsid w:val="228F3C92"/>
    <w:rsid w:val="36A21EA2"/>
    <w:rsid w:val="611F7357"/>
    <w:rsid w:val="7F7FF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kern w:val="0"/>
      <w:sz w:val="24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377</Words>
  <Characters>2152</Characters>
  <Lines>17</Lines>
  <Paragraphs>5</Paragraphs>
  <TotalTime>47</TotalTime>
  <ScaleCrop>false</ScaleCrop>
  <LinksUpToDate>false</LinksUpToDate>
  <CharactersWithSpaces>2524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2020-03-05T11:12:00Z</dcterms:created>
  <dc:creator>Tian1994</dc:creator>
  <cp:lastModifiedBy>73205</cp:lastModifiedBy>
  <dcterms:modified xsi:type="dcterms:W3CDTF">2020-04-14T08:18:55Z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