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57A" w14:textId="77777777" w:rsidR="008B70CB" w:rsidRPr="00646CB9" w:rsidRDefault="008B70CB" w:rsidP="008B70CB">
      <w:pPr>
        <w:widowControl/>
        <w:jc w:val="center"/>
        <w:rPr>
          <w:rFonts w:ascii="黑体" w:eastAsia="黑体" w:hAnsi="黑体"/>
          <w:sz w:val="32"/>
          <w:szCs w:val="32"/>
        </w:rPr>
      </w:pPr>
      <w:bookmarkStart w:id="0" w:name="_Toc350330962"/>
      <w:r>
        <w:rPr>
          <w:rFonts w:ascii="黑体" w:eastAsia="黑体" w:hAnsi="黑体" w:hint="eastAsia"/>
          <w:sz w:val="32"/>
          <w:szCs w:val="32"/>
        </w:rPr>
        <w:t>无锡灵山慈善基金</w:t>
      </w:r>
      <w:r w:rsidRPr="00646CB9">
        <w:rPr>
          <w:rFonts w:ascii="黑体" w:eastAsia="黑体" w:hAnsi="黑体" w:hint="eastAsia"/>
          <w:sz w:val="32"/>
          <w:szCs w:val="32"/>
        </w:rPr>
        <w:t>会重大事项决策制度</w:t>
      </w:r>
      <w:bookmarkEnd w:id="0"/>
    </w:p>
    <w:p w14:paraId="63EFDA6E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</w:p>
    <w:p w14:paraId="039BA83F" w14:textId="77777777"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第一章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</w:t>
      </w:r>
      <w:r w:rsidRPr="00646CB9">
        <w:rPr>
          <w:rFonts w:ascii="仿宋" w:eastAsia="仿宋" w:hAnsi="仿宋"/>
          <w:b/>
          <w:bCs/>
          <w:sz w:val="28"/>
          <w:szCs w:val="28"/>
        </w:rPr>
        <w:t>总则</w:t>
      </w:r>
    </w:p>
    <w:p w14:paraId="05923D26" w14:textId="317E17EB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第一条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为贯彻民主集中制原则，规范</w:t>
      </w:r>
      <w:r>
        <w:rPr>
          <w:rFonts w:ascii="仿宋" w:eastAsia="仿宋" w:hAnsi="仿宋" w:hint="eastAsia"/>
          <w:sz w:val="28"/>
          <w:szCs w:val="28"/>
        </w:rPr>
        <w:t>无锡灵山慈善基金</w:t>
      </w:r>
      <w:r w:rsidRPr="00646CB9">
        <w:rPr>
          <w:rFonts w:ascii="仿宋" w:eastAsia="仿宋" w:hAnsi="仿宋" w:hint="eastAsia"/>
          <w:sz w:val="28"/>
          <w:szCs w:val="28"/>
        </w:rPr>
        <w:t>会（以下简称“</w:t>
      </w:r>
      <w:r>
        <w:rPr>
          <w:rFonts w:ascii="仿宋" w:eastAsia="仿宋" w:hAnsi="仿宋" w:hint="eastAsia"/>
          <w:sz w:val="28"/>
          <w:szCs w:val="28"/>
        </w:rPr>
        <w:t>基金</w:t>
      </w:r>
      <w:r w:rsidRPr="00646CB9">
        <w:rPr>
          <w:rFonts w:ascii="仿宋" w:eastAsia="仿宋" w:hAnsi="仿宋" w:hint="eastAsia"/>
          <w:sz w:val="28"/>
          <w:szCs w:val="28"/>
        </w:rPr>
        <w:t>会”）重大事项决策行为，建立健全民主、科学的决策机制，保障</w:t>
      </w:r>
      <w:r w:rsidR="00E81881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健康稳定发展，依照《</w:t>
      </w:r>
      <w:r w:rsidR="00E3444A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管理条例》、《</w:t>
      </w:r>
      <w:r>
        <w:rPr>
          <w:rFonts w:ascii="仿宋" w:eastAsia="仿宋" w:hAnsi="仿宋" w:hint="eastAsia"/>
          <w:sz w:val="28"/>
          <w:szCs w:val="28"/>
        </w:rPr>
        <w:t>无锡灵山慈善基金会</w:t>
      </w:r>
      <w:r w:rsidRPr="00646CB9">
        <w:rPr>
          <w:rFonts w:ascii="仿宋" w:eastAsia="仿宋" w:hAnsi="仿宋" w:hint="eastAsia"/>
          <w:sz w:val="28"/>
          <w:szCs w:val="28"/>
        </w:rPr>
        <w:t>章程》等有关法律、法规、制度的规定，制定本制度。</w:t>
      </w:r>
    </w:p>
    <w:p w14:paraId="5640A07D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的最高权力机构是理事会。理事会要坚持民主集中制原则，严格执行重大事项决策议事规则，重大事项决策必须经集体讨论作出决定。</w:t>
      </w:r>
    </w:p>
    <w:p w14:paraId="0859B268" w14:textId="77777777"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第二章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重大事项的内容</w:t>
      </w:r>
    </w:p>
    <w:p w14:paraId="741DEED5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第三条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重大事项包括重大决策、重要人事任免、重要项目安排及大额资金募捐和使用。</w:t>
      </w:r>
    </w:p>
    <w:p w14:paraId="3B606447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第四条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重大决策：</w:t>
      </w:r>
    </w:p>
    <w:p w14:paraId="7BF3DE37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1. 贯彻党和国家的路线、方针、政策，上级有关会议和文件精神的重大事项；</w:t>
      </w:r>
    </w:p>
    <w:p w14:paraId="55A0EFCC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章程、发展规划、年度计划；</w:t>
      </w:r>
    </w:p>
    <w:p w14:paraId="1A1C3CDA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3. 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重要管理制度的制定、修改；</w:t>
      </w:r>
    </w:p>
    <w:p w14:paraId="48574592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4. </w:t>
      </w:r>
      <w:r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年度经费预算、决算报告；</w:t>
      </w:r>
    </w:p>
    <w:p w14:paraId="5714CBBA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第五条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重要人事任免：</w:t>
      </w:r>
    </w:p>
    <w:p w14:paraId="53D888AB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1. 理事的聘任和解聘；</w:t>
      </w:r>
    </w:p>
    <w:p w14:paraId="34FFE9C1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 xml:space="preserve">2. </w:t>
      </w:r>
      <w:r>
        <w:rPr>
          <w:rFonts w:ascii="仿宋" w:eastAsia="仿宋" w:hAnsi="仿宋" w:hint="eastAsia"/>
          <w:sz w:val="28"/>
          <w:szCs w:val="28"/>
        </w:rPr>
        <w:t>理事长</w:t>
      </w:r>
      <w:r w:rsidRPr="00646CB9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副理事</w:t>
      </w:r>
      <w:r w:rsidRPr="00646CB9">
        <w:rPr>
          <w:rFonts w:ascii="仿宋" w:eastAsia="仿宋" w:hAnsi="仿宋" w:hint="eastAsia"/>
          <w:sz w:val="28"/>
          <w:szCs w:val="28"/>
        </w:rPr>
        <w:t>长的任免；</w:t>
      </w:r>
    </w:p>
    <w:p w14:paraId="58B75E97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lastRenderedPageBreak/>
        <w:t>3. 秘书长、副秘书长的任免；</w:t>
      </w:r>
    </w:p>
    <w:p w14:paraId="0DB499A8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第六条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重要项目安排：</w:t>
      </w:r>
    </w:p>
    <w:p w14:paraId="543D40E9" w14:textId="35B03C18" w:rsidR="006A1D32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6A1D32" w:rsidRPr="00646CB9">
        <w:rPr>
          <w:rFonts w:ascii="仿宋" w:eastAsia="仿宋" w:hAnsi="仿宋" w:hint="eastAsia"/>
          <w:sz w:val="28"/>
          <w:szCs w:val="28"/>
        </w:rPr>
        <w:t>重要公益活动项目（</w:t>
      </w:r>
      <w:r w:rsidR="00ED71E4">
        <w:rPr>
          <w:rFonts w:ascii="仿宋" w:eastAsia="仿宋" w:hAnsi="仿宋" w:hint="eastAsia"/>
          <w:sz w:val="28"/>
          <w:szCs w:val="28"/>
        </w:rPr>
        <w:t>总</w:t>
      </w:r>
      <w:r w:rsidR="006A1D32" w:rsidRPr="00646CB9">
        <w:rPr>
          <w:rFonts w:ascii="仿宋" w:eastAsia="仿宋" w:hAnsi="仿宋" w:hint="eastAsia"/>
          <w:sz w:val="28"/>
          <w:szCs w:val="28"/>
        </w:rPr>
        <w:t>金额人民币</w:t>
      </w:r>
      <w:r w:rsidR="00D55DF8">
        <w:rPr>
          <w:rFonts w:ascii="仿宋" w:eastAsia="仿宋" w:hAnsi="仿宋"/>
          <w:sz w:val="28"/>
          <w:szCs w:val="28"/>
        </w:rPr>
        <w:t>50</w:t>
      </w:r>
      <w:r w:rsidR="006A1D32" w:rsidRPr="00646CB9">
        <w:rPr>
          <w:rFonts w:ascii="仿宋" w:eastAsia="仿宋" w:hAnsi="仿宋" w:hint="eastAsia"/>
          <w:sz w:val="28"/>
          <w:szCs w:val="28"/>
        </w:rPr>
        <w:t>万元及以上）</w:t>
      </w:r>
      <w:r w:rsidRPr="00646CB9">
        <w:rPr>
          <w:rFonts w:ascii="仿宋" w:eastAsia="仿宋" w:hAnsi="仿宋" w:hint="eastAsia"/>
          <w:sz w:val="28"/>
          <w:szCs w:val="28"/>
        </w:rPr>
        <w:t>；</w:t>
      </w:r>
    </w:p>
    <w:p w14:paraId="6A40747A" w14:textId="5EBBE701" w:rsidR="00D600A9" w:rsidRDefault="00D600A9" w:rsidP="008B70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 w:rsidR="008B70CB" w:rsidRPr="00646CB9">
        <w:rPr>
          <w:rFonts w:ascii="仿宋" w:eastAsia="仿宋" w:hAnsi="仿宋" w:hint="eastAsia"/>
          <w:sz w:val="28"/>
          <w:szCs w:val="28"/>
        </w:rPr>
        <w:t>.</w:t>
      </w:r>
      <w:r w:rsidR="006A1D32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涉及境外捐赠资金或在境外实施的项目；</w:t>
      </w:r>
    </w:p>
    <w:p w14:paraId="43AB01A4" w14:textId="6ABCDBAD" w:rsidR="00C756E8" w:rsidRPr="00646CB9" w:rsidRDefault="00C756E8" w:rsidP="00C756E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 xml:space="preserve"> 重要投资管理事项；</w:t>
      </w:r>
    </w:p>
    <w:p w14:paraId="2DA40955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第七条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大额资金的募捐和使用：</w:t>
      </w:r>
    </w:p>
    <w:p w14:paraId="3378C78E" w14:textId="36A66602" w:rsidR="00E3444A" w:rsidRPr="00E3444A" w:rsidRDefault="00E3444A" w:rsidP="00E3444A">
      <w:pPr>
        <w:pStyle w:val="a3"/>
        <w:numPr>
          <w:ilvl w:val="0"/>
          <w:numId w:val="2"/>
        </w:numPr>
        <w:snapToGrid w:val="0"/>
        <w:spacing w:line="600" w:lineRule="exact"/>
        <w:ind w:firstLineChars="0"/>
        <w:jc w:val="left"/>
        <w:rPr>
          <w:rFonts w:ascii="仿宋" w:eastAsia="仿宋" w:hAnsi="仿宋"/>
          <w:color w:val="000000"/>
          <w:sz w:val="28"/>
          <w:szCs w:val="28"/>
        </w:rPr>
      </w:pPr>
      <w:r w:rsidRPr="00E3444A">
        <w:rPr>
          <w:rFonts w:ascii="仿宋" w:eastAsia="仿宋" w:hAnsi="仿宋" w:hint="eastAsia"/>
          <w:color w:val="000000"/>
          <w:sz w:val="28"/>
          <w:szCs w:val="28"/>
        </w:rPr>
        <w:t>金额超过50万元的慈善募捐项目；</w:t>
      </w:r>
    </w:p>
    <w:p w14:paraId="3B8C6C20" w14:textId="258A320D" w:rsidR="00E3444A" w:rsidRDefault="00E3444A" w:rsidP="00E3444A">
      <w:pPr>
        <w:pStyle w:val="a3"/>
        <w:numPr>
          <w:ilvl w:val="0"/>
          <w:numId w:val="2"/>
        </w:numPr>
        <w:snapToGrid w:val="0"/>
        <w:spacing w:line="600" w:lineRule="exact"/>
        <w:ind w:firstLineChars="0"/>
        <w:jc w:val="left"/>
        <w:rPr>
          <w:rFonts w:ascii="仿宋" w:eastAsia="仿宋" w:hAnsi="仿宋"/>
          <w:color w:val="000000"/>
          <w:sz w:val="28"/>
          <w:szCs w:val="28"/>
        </w:rPr>
      </w:pPr>
      <w:r w:rsidRPr="00E3444A">
        <w:rPr>
          <w:rFonts w:ascii="仿宋" w:eastAsia="仿宋" w:hAnsi="仿宋" w:hint="eastAsia"/>
          <w:color w:val="000000"/>
          <w:sz w:val="28"/>
          <w:szCs w:val="28"/>
        </w:rPr>
        <w:t>金额超过</w:t>
      </w:r>
      <w:r w:rsidR="00D55DF8">
        <w:rPr>
          <w:rFonts w:ascii="仿宋" w:eastAsia="仿宋" w:hAnsi="仿宋"/>
          <w:color w:val="000000"/>
          <w:sz w:val="28"/>
          <w:szCs w:val="28"/>
        </w:rPr>
        <w:t>50</w:t>
      </w:r>
      <w:r w:rsidRPr="00E3444A">
        <w:rPr>
          <w:rFonts w:ascii="仿宋" w:eastAsia="仿宋" w:hAnsi="仿宋" w:hint="eastAsia"/>
          <w:color w:val="000000"/>
          <w:sz w:val="28"/>
          <w:szCs w:val="28"/>
        </w:rPr>
        <w:t>万元的慈善财产保值增值投资项目；</w:t>
      </w:r>
    </w:p>
    <w:p w14:paraId="0906E098" w14:textId="52B02FD1" w:rsidR="008B70CB" w:rsidRPr="00E3444A" w:rsidRDefault="00E3444A" w:rsidP="008B70CB">
      <w:pPr>
        <w:pStyle w:val="a3"/>
        <w:numPr>
          <w:ilvl w:val="0"/>
          <w:numId w:val="2"/>
        </w:numPr>
        <w:snapToGrid w:val="0"/>
        <w:spacing w:line="600" w:lineRule="exact"/>
        <w:ind w:firstLineChars="0"/>
        <w:jc w:val="left"/>
        <w:rPr>
          <w:rFonts w:ascii="仿宋" w:eastAsia="仿宋" w:hAnsi="仿宋"/>
          <w:color w:val="000000"/>
          <w:sz w:val="28"/>
          <w:szCs w:val="28"/>
        </w:rPr>
      </w:pPr>
      <w:r w:rsidRPr="00E3444A">
        <w:rPr>
          <w:rFonts w:ascii="仿宋" w:eastAsia="仿宋" w:hAnsi="仿宋" w:hint="eastAsia"/>
          <w:color w:val="000000"/>
          <w:sz w:val="28"/>
          <w:szCs w:val="28"/>
        </w:rPr>
        <w:t>金额超过</w:t>
      </w:r>
      <w:r w:rsidR="00D55DF8">
        <w:rPr>
          <w:rFonts w:ascii="仿宋" w:eastAsia="仿宋" w:hAnsi="仿宋"/>
          <w:color w:val="000000"/>
          <w:sz w:val="28"/>
          <w:szCs w:val="28"/>
        </w:rPr>
        <w:t>50</w:t>
      </w:r>
      <w:r w:rsidRPr="00E3444A">
        <w:rPr>
          <w:rFonts w:ascii="仿宋" w:eastAsia="仿宋" w:hAnsi="仿宋" w:hint="eastAsia"/>
          <w:color w:val="000000"/>
          <w:sz w:val="28"/>
          <w:szCs w:val="28"/>
        </w:rPr>
        <w:t>万元的慈善支出活动项目</w:t>
      </w:r>
      <w:r w:rsidR="00C756E8">
        <w:rPr>
          <w:rFonts w:ascii="仿宋" w:eastAsia="仿宋" w:hAnsi="仿宋" w:hint="eastAsia"/>
          <w:color w:val="000000"/>
          <w:sz w:val="28"/>
          <w:szCs w:val="28"/>
        </w:rPr>
        <w:t>；</w:t>
      </w:r>
    </w:p>
    <w:p w14:paraId="67E2CB1B" w14:textId="5E46E830" w:rsidR="008B70CB" w:rsidRPr="00646CB9" w:rsidRDefault="00E3444A" w:rsidP="008B70C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 w:rsidR="008B70CB" w:rsidRPr="00646CB9">
        <w:rPr>
          <w:rFonts w:ascii="仿宋" w:eastAsia="仿宋" w:hAnsi="仿宋" w:hint="eastAsia"/>
          <w:sz w:val="28"/>
          <w:szCs w:val="28"/>
        </w:rPr>
        <w:t>. 预算外，原总预算5%及以上的资金使用</w:t>
      </w:r>
      <w:r w:rsidR="00C756E8">
        <w:rPr>
          <w:rFonts w:ascii="仿宋" w:eastAsia="仿宋" w:hAnsi="仿宋" w:hint="eastAsia"/>
          <w:sz w:val="28"/>
          <w:szCs w:val="28"/>
        </w:rPr>
        <w:t>。</w:t>
      </w:r>
    </w:p>
    <w:p w14:paraId="0296CB3D" w14:textId="77777777"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第三章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重大事项决策的原则</w:t>
      </w:r>
    </w:p>
    <w:p w14:paraId="6DFFA35F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第八条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广泛征求意见的原则。重大事项决策，应在一定范围内充分听取意见和建议，进行必要的咨询，为集体讨论奠定基础。</w:t>
      </w:r>
    </w:p>
    <w:p w14:paraId="032B66E8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第九条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充分酝酿的原则。会议讨论决定重大事项前，</w:t>
      </w:r>
      <w:r w:rsidR="006A1D32">
        <w:rPr>
          <w:rFonts w:ascii="仿宋" w:eastAsia="仿宋" w:hAnsi="仿宋" w:hint="eastAsia"/>
          <w:sz w:val="28"/>
          <w:szCs w:val="28"/>
        </w:rPr>
        <w:t>理事长</w:t>
      </w:r>
      <w:r w:rsidRPr="00646CB9">
        <w:rPr>
          <w:rFonts w:ascii="仿宋" w:eastAsia="仿宋" w:hAnsi="仿宋" w:hint="eastAsia"/>
          <w:sz w:val="28"/>
          <w:szCs w:val="28"/>
        </w:rPr>
        <w:t>、副</w:t>
      </w:r>
      <w:r w:rsidR="006A1D32">
        <w:rPr>
          <w:rFonts w:ascii="仿宋" w:eastAsia="仿宋" w:hAnsi="仿宋" w:hint="eastAsia"/>
          <w:sz w:val="28"/>
          <w:szCs w:val="28"/>
        </w:rPr>
        <w:t>理事长</w:t>
      </w:r>
      <w:r w:rsidRPr="00646CB9">
        <w:rPr>
          <w:rFonts w:ascii="仿宋" w:eastAsia="仿宋" w:hAnsi="仿宋" w:hint="eastAsia"/>
          <w:sz w:val="28"/>
          <w:szCs w:val="28"/>
        </w:rPr>
        <w:t>、秘书长、党支部书记和理事会成员应交换意见，沟通思想，统一认识。</w:t>
      </w:r>
    </w:p>
    <w:p w14:paraId="33179259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平等议事的原则。讨论重大事项时，理事会成员都享有平等的发言权、表决权、监督权。</w:t>
      </w:r>
    </w:p>
    <w:p w14:paraId="2A561F6D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第十一条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依法决策的原则。重大事项决策必须遵循党纪法规和上级有关规章制度。</w:t>
      </w:r>
    </w:p>
    <w:p w14:paraId="450060D4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第十二条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集体决策的原则。重大事项应当集体研究决定，任何个人或少数人无权决定重大问题。</w:t>
      </w:r>
    </w:p>
    <w:p w14:paraId="3A8F82C0" w14:textId="77777777"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lastRenderedPageBreak/>
        <w:t>第四章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重大事项决策的程序</w:t>
      </w:r>
    </w:p>
    <w:p w14:paraId="2E97E282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第十三条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充分论证。凡属重大事项，应事先进行调研，广泛征求各方面的意见，在客观真实和充分论证的基础上，提出讨论方案。</w:t>
      </w:r>
    </w:p>
    <w:p w14:paraId="13D95824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第十四条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</w:t>
      </w:r>
      <w:r w:rsidRPr="00646CB9">
        <w:rPr>
          <w:rFonts w:ascii="Calibri" w:eastAsia="仿宋" w:hAnsi="Calibri" w:cs="Calibri"/>
          <w:sz w:val="28"/>
          <w:szCs w:val="28"/>
        </w:rPr>
        <w:t>   </w:t>
      </w:r>
      <w:r w:rsidRPr="00646CB9">
        <w:rPr>
          <w:rFonts w:ascii="仿宋" w:eastAsia="仿宋" w:hAnsi="仿宋" w:hint="eastAsia"/>
          <w:sz w:val="28"/>
          <w:szCs w:val="28"/>
        </w:rPr>
        <w:t>确定议题。召开研究重大事项会议前，要提前征集理事意见，主要负责人应进行沟通，确定决策议题。</w:t>
      </w:r>
    </w:p>
    <w:p w14:paraId="1417186D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第十五条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集体讨论。重大事项决策要发扬民主，经充分讨论后决定。对分歧较大的应暂缓决策，待条件具备时再行讨论研究。</w:t>
      </w:r>
    </w:p>
    <w:p w14:paraId="5510BBAD" w14:textId="77777777"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第五章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重大事项决策的要求</w:t>
      </w:r>
    </w:p>
    <w:p w14:paraId="7DFCD0E2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第十六条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重要人事任免前一定要对拟任用人员进行全面考察，并广泛征求意见。</w:t>
      </w:r>
    </w:p>
    <w:p w14:paraId="66E663A9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第十七条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重要项目安排要按照</w:t>
      </w:r>
      <w:r w:rsidR="006A1D32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各项规章制度的规定执行，重要项目必须经理事会集体研究确定。</w:t>
      </w:r>
    </w:p>
    <w:p w14:paraId="2F8A4A73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第十八条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要加强对大额度资金使用的管理，按照</w:t>
      </w:r>
      <w:r w:rsidR="006A1D32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的有关规定，由理事会讨论决定。</w:t>
      </w:r>
    </w:p>
    <w:p w14:paraId="6756E183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第十九条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 w:rsidRPr="00646CB9">
        <w:rPr>
          <w:rFonts w:ascii="仿宋" w:eastAsia="仿宋" w:hAnsi="仿宋" w:hint="eastAsia"/>
          <w:sz w:val="28"/>
          <w:szCs w:val="28"/>
        </w:rPr>
        <w:t>重大事项决策的情况，包括决策参与人、决策事项、决策过程、决策结论等，要以会议记录、纪要、决定等形式留下文字性资料，并存档备查。</w:t>
      </w:r>
    </w:p>
    <w:p w14:paraId="0B16403A" w14:textId="77777777"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第六章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重大事项决策的监督和责任追究</w:t>
      </w:r>
    </w:p>
    <w:p w14:paraId="6FAA982E" w14:textId="77777777" w:rsidR="008B70CB" w:rsidRDefault="008B70CB" w:rsidP="008B70CB">
      <w:pPr>
        <w:rPr>
          <w:rFonts w:ascii="Calibri" w:eastAsia="仿宋" w:hAnsi="Calibri" w:cs="Calibri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第二十条</w:t>
      </w:r>
      <w:r w:rsidRPr="00646CB9">
        <w:rPr>
          <w:rFonts w:ascii="Calibri" w:eastAsia="仿宋" w:hAnsi="Calibri" w:cs="Calibri"/>
          <w:sz w:val="28"/>
          <w:szCs w:val="28"/>
        </w:rPr>
        <w:t>    </w:t>
      </w:r>
      <w:r>
        <w:rPr>
          <w:rFonts w:ascii="Calibri" w:eastAsia="仿宋" w:hAnsi="Calibri" w:cs="Calibri" w:hint="eastAsia"/>
          <w:sz w:val="28"/>
          <w:szCs w:val="28"/>
        </w:rPr>
        <w:t>监事会监督重大事项决策过程，是否符合相关法律和章程规定。</w:t>
      </w:r>
    </w:p>
    <w:p w14:paraId="7E9D15DE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第二十一条</w:t>
      </w:r>
      <w:r w:rsidRPr="00646CB9">
        <w:rPr>
          <w:rFonts w:ascii="Calibri" w:eastAsia="仿宋" w:hAnsi="Calibri" w:cs="Calibri"/>
          <w:sz w:val="28"/>
          <w:szCs w:val="28"/>
        </w:rPr>
        <w:t>     </w:t>
      </w:r>
      <w:r w:rsidRPr="00646CB9">
        <w:rPr>
          <w:rFonts w:ascii="仿宋" w:eastAsia="仿宋" w:hAnsi="仿宋" w:hint="eastAsia"/>
          <w:sz w:val="28"/>
          <w:szCs w:val="28"/>
        </w:rPr>
        <w:t>重大事项决策形成后，由专门部门负责组织实施，任何人不得擅自违反、改变决策结果。</w:t>
      </w:r>
    </w:p>
    <w:p w14:paraId="6B5CDAE9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lastRenderedPageBreak/>
        <w:t>第二十二条</w:t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 xml:space="preserve"> </w:t>
      </w:r>
      <w:r w:rsidRPr="00646CB9">
        <w:rPr>
          <w:rFonts w:ascii="仿宋" w:eastAsia="仿宋" w:hAnsi="仿宋" w:hint="eastAsia"/>
          <w:sz w:val="28"/>
          <w:szCs w:val="28"/>
        </w:rPr>
        <w:t>对违反重大事项决策制度的，要追究当事人的责任。</w:t>
      </w:r>
    </w:p>
    <w:p w14:paraId="644700D2" w14:textId="77777777" w:rsidR="008B70CB" w:rsidRPr="00646CB9" w:rsidRDefault="008B70CB" w:rsidP="008B70CB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646CB9">
        <w:rPr>
          <w:rFonts w:ascii="仿宋" w:eastAsia="仿宋" w:hAnsi="仿宋"/>
          <w:b/>
          <w:bCs/>
          <w:sz w:val="28"/>
          <w:szCs w:val="28"/>
        </w:rPr>
        <w:t>第七章</w:t>
      </w:r>
      <w:r w:rsidRPr="00646CB9">
        <w:rPr>
          <w:rFonts w:ascii="Calibri" w:eastAsia="仿宋" w:hAnsi="Calibri" w:cs="Calibri"/>
          <w:b/>
          <w:bCs/>
          <w:sz w:val="28"/>
          <w:szCs w:val="28"/>
        </w:rPr>
        <w:t>    </w:t>
      </w:r>
      <w:r w:rsidRPr="00646CB9">
        <w:rPr>
          <w:rFonts w:ascii="仿宋" w:eastAsia="仿宋" w:hAnsi="仿宋"/>
          <w:b/>
          <w:bCs/>
          <w:sz w:val="28"/>
          <w:szCs w:val="28"/>
        </w:rPr>
        <w:t>附则</w:t>
      </w:r>
    </w:p>
    <w:p w14:paraId="12F772F3" w14:textId="77777777" w:rsidR="006A1D32" w:rsidRDefault="008B70CB" w:rsidP="008B70CB">
      <w:pPr>
        <w:rPr>
          <w:rFonts w:ascii="仿宋" w:eastAsia="仿宋" w:hAnsi="仿宋"/>
          <w:sz w:val="28"/>
          <w:szCs w:val="28"/>
        </w:rPr>
      </w:pPr>
      <w:r w:rsidRPr="00646CB9">
        <w:rPr>
          <w:rFonts w:ascii="仿宋" w:eastAsia="仿宋" w:hAnsi="仿宋" w:hint="eastAsia"/>
          <w:b/>
          <w:bCs/>
          <w:sz w:val="28"/>
          <w:szCs w:val="28"/>
        </w:rPr>
        <w:t>第二十三条</w:t>
      </w:r>
      <w:r w:rsidRPr="00646CB9">
        <w:rPr>
          <w:rFonts w:ascii="Calibri" w:eastAsia="仿宋" w:hAnsi="Calibri" w:cs="Calibri"/>
          <w:sz w:val="28"/>
          <w:szCs w:val="28"/>
        </w:rPr>
        <w:t> </w:t>
      </w:r>
      <w:r>
        <w:rPr>
          <w:rFonts w:ascii="Calibri" w:eastAsia="仿宋" w:hAnsi="Calibri" w:cs="Calibri"/>
          <w:sz w:val="28"/>
          <w:szCs w:val="28"/>
        </w:rPr>
        <w:t xml:space="preserve">  </w:t>
      </w:r>
      <w:r w:rsidRPr="00646CB9">
        <w:rPr>
          <w:rFonts w:ascii="仿宋" w:eastAsia="仿宋" w:hAnsi="仿宋" w:hint="eastAsia"/>
          <w:sz w:val="28"/>
          <w:szCs w:val="28"/>
        </w:rPr>
        <w:t>本制度由</w:t>
      </w:r>
      <w:r w:rsidR="006A1D32">
        <w:rPr>
          <w:rFonts w:ascii="仿宋" w:eastAsia="仿宋" w:hAnsi="仿宋" w:hint="eastAsia"/>
          <w:sz w:val="28"/>
          <w:szCs w:val="28"/>
        </w:rPr>
        <w:t>基金会</w:t>
      </w:r>
      <w:r w:rsidRPr="00646CB9">
        <w:rPr>
          <w:rFonts w:ascii="仿宋" w:eastAsia="仿宋" w:hAnsi="仿宋" w:hint="eastAsia"/>
          <w:sz w:val="28"/>
          <w:szCs w:val="28"/>
        </w:rPr>
        <w:t>秘书处负责解释。</w:t>
      </w:r>
    </w:p>
    <w:p w14:paraId="3A019504" w14:textId="77777777" w:rsidR="008B70CB" w:rsidRPr="00646CB9" w:rsidRDefault="008B70CB" w:rsidP="008B70CB">
      <w:pPr>
        <w:rPr>
          <w:rFonts w:ascii="仿宋" w:eastAsia="仿宋" w:hAnsi="仿宋"/>
          <w:sz w:val="28"/>
          <w:szCs w:val="28"/>
        </w:rPr>
      </w:pPr>
      <w:r w:rsidRPr="005F481F">
        <w:rPr>
          <w:rFonts w:ascii="Calibri" w:eastAsia="仿宋" w:hAnsi="Calibri" w:cs="Calibri" w:hint="eastAsia"/>
          <w:b/>
          <w:bCs/>
          <w:sz w:val="28"/>
          <w:szCs w:val="28"/>
        </w:rPr>
        <w:t>第二十</w:t>
      </w:r>
      <w:r>
        <w:rPr>
          <w:rFonts w:ascii="Calibri" w:eastAsia="仿宋" w:hAnsi="Calibri" w:cs="Calibri" w:hint="eastAsia"/>
          <w:b/>
          <w:bCs/>
          <w:sz w:val="28"/>
          <w:szCs w:val="28"/>
        </w:rPr>
        <w:t>四</w:t>
      </w:r>
      <w:r w:rsidRPr="005F481F">
        <w:rPr>
          <w:rFonts w:ascii="Calibri" w:eastAsia="仿宋" w:hAnsi="Calibri" w:cs="Calibri" w:hint="eastAsia"/>
          <w:b/>
          <w:bCs/>
          <w:sz w:val="28"/>
          <w:szCs w:val="28"/>
        </w:rPr>
        <w:t>条</w:t>
      </w:r>
      <w:r>
        <w:rPr>
          <w:rFonts w:ascii="Calibri" w:eastAsia="仿宋" w:hAnsi="Calibri" w:cs="Calibri" w:hint="eastAsia"/>
          <w:sz w:val="28"/>
          <w:szCs w:val="28"/>
        </w:rPr>
        <w:t xml:space="preserve"> </w:t>
      </w:r>
      <w:r>
        <w:rPr>
          <w:rFonts w:ascii="Calibri" w:eastAsia="仿宋" w:hAnsi="Calibri" w:cs="Calibri"/>
          <w:sz w:val="28"/>
          <w:szCs w:val="28"/>
        </w:rPr>
        <w:t xml:space="preserve"> </w:t>
      </w:r>
      <w:r w:rsidRPr="00646CB9">
        <w:rPr>
          <w:rFonts w:ascii="仿宋" w:eastAsia="仿宋" w:hAnsi="仿宋" w:hint="eastAsia"/>
          <w:sz w:val="28"/>
          <w:szCs w:val="28"/>
        </w:rPr>
        <w:t>本制度自理事会批准之日起执行。</w:t>
      </w:r>
    </w:p>
    <w:p w14:paraId="69BE91E4" w14:textId="77777777" w:rsidR="00CB6A9B" w:rsidRDefault="008B70CB" w:rsidP="008B70CB">
      <w:r>
        <w:rPr>
          <w:rFonts w:ascii="仿宋" w:eastAsia="仿宋" w:hAnsi="仿宋" w:cs="仿宋"/>
          <w:sz w:val="28"/>
          <w:szCs w:val="28"/>
        </w:rPr>
        <w:br w:type="page"/>
      </w:r>
    </w:p>
    <w:sectPr w:rsidR="00CB6A9B" w:rsidSect="00C352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214"/>
    <w:multiLevelType w:val="hybridMultilevel"/>
    <w:tmpl w:val="8ADEE6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EE2444"/>
    <w:multiLevelType w:val="hybridMultilevel"/>
    <w:tmpl w:val="BD200C7C"/>
    <w:lvl w:ilvl="0" w:tplc="4EE293A6">
      <w:start w:val="1"/>
      <w:numFmt w:val="japaneseCounting"/>
      <w:lvlText w:val="（%1）"/>
      <w:lvlJc w:val="left"/>
      <w:pPr>
        <w:ind w:left="1680" w:hanging="11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CB"/>
    <w:rsid w:val="006A1D32"/>
    <w:rsid w:val="008B70CB"/>
    <w:rsid w:val="00C352D9"/>
    <w:rsid w:val="00C756E8"/>
    <w:rsid w:val="00CB6A9B"/>
    <w:rsid w:val="00D55DF8"/>
    <w:rsid w:val="00D600A9"/>
    <w:rsid w:val="00E3444A"/>
    <w:rsid w:val="00E81881"/>
    <w:rsid w:val="00ED1D7B"/>
    <w:rsid w:val="00E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A1E42"/>
  <w15:chartTrackingRefBased/>
  <w15:docId w15:val="{B2D0A6A5-7B25-7449-ACF6-E3C6456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C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44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mac13804</dc:creator>
  <cp:keywords/>
  <dc:description/>
  <cp:lastModifiedBy>i052714</cp:lastModifiedBy>
  <cp:revision>4</cp:revision>
  <dcterms:created xsi:type="dcterms:W3CDTF">2022-08-23T06:32:00Z</dcterms:created>
  <dcterms:modified xsi:type="dcterms:W3CDTF">2022-08-23T07:04:00Z</dcterms:modified>
</cp:coreProperties>
</file>